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hint="eastAsia" w:ascii="方正小标宋简体" w:hAnsi="方正仿宋简体" w:eastAsia="黑体"/>
          <w:bCs/>
          <w:color w:val="000000"/>
          <w:sz w:val="32"/>
          <w:szCs w:val="32"/>
          <w:lang w:val="en-US" w:eastAsia="zh-CN"/>
        </w:rPr>
      </w:pPr>
      <w:r>
        <w:rPr>
          <w:rFonts w:hint="eastAsia" w:ascii="黑体" w:hAnsi="黑体" w:eastAsia="黑体" w:cs="黑体"/>
          <w:bCs/>
          <w:color w:val="000000"/>
          <w:sz w:val="32"/>
          <w:szCs w:val="32"/>
        </w:rPr>
        <w:t>附件</w:t>
      </w:r>
      <w:r>
        <w:rPr>
          <w:rFonts w:hint="eastAsia" w:ascii="黑体" w:hAnsi="黑体" w:eastAsia="黑体" w:cs="黑体"/>
          <w:bCs/>
          <w:color w:val="000000"/>
          <w:sz w:val="32"/>
          <w:szCs w:val="32"/>
          <w:lang w:val="en-US" w:eastAsia="zh-CN"/>
        </w:rPr>
        <w:t>3</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黑体" w:hAnsi="黑体" w:eastAsia="黑体"/>
          <w:color w:val="000000"/>
          <w:sz w:val="32"/>
          <w:szCs w:val="32"/>
          <w:lang w:eastAsia="zh-CN"/>
        </w:rPr>
      </w:pPr>
      <w:r>
        <w:rPr>
          <w:rFonts w:hint="eastAsia" w:ascii="黑体" w:hAnsi="黑体" w:eastAsia="黑体"/>
          <w:color w:val="000000"/>
          <w:sz w:val="32"/>
          <w:szCs w:val="32"/>
          <w:lang w:eastAsia="zh-CN"/>
        </w:rPr>
        <w:t>山西应用科技学院课程思政教学设计大赛</w:t>
      </w:r>
      <w:r>
        <w:rPr>
          <w:rFonts w:ascii="黑体" w:hAnsi="黑体" w:eastAsia="黑体"/>
          <w:color w:val="000000"/>
          <w:sz w:val="32"/>
          <w:szCs w:val="32"/>
        </w:rPr>
        <w:t>评分标准</w:t>
      </w:r>
      <w:r>
        <w:rPr>
          <w:rFonts w:hint="eastAsia" w:ascii="黑体" w:hAnsi="黑体" w:eastAsia="黑体"/>
          <w:color w:val="000000"/>
          <w:sz w:val="32"/>
          <w:szCs w:val="32"/>
          <w:lang w:eastAsia="zh-CN"/>
        </w:rPr>
        <w:t>（</w:t>
      </w:r>
      <w:r>
        <w:rPr>
          <w:rFonts w:hint="eastAsia" w:ascii="黑体" w:hAnsi="黑体" w:eastAsia="黑体"/>
          <w:color w:val="000000"/>
          <w:sz w:val="32"/>
          <w:szCs w:val="32"/>
          <w:lang w:val="en-US" w:eastAsia="zh-CN"/>
        </w:rPr>
        <w:t>100分</w:t>
      </w:r>
      <w:r>
        <w:rPr>
          <w:rFonts w:hint="eastAsia" w:ascii="黑体" w:hAnsi="黑体" w:eastAsia="黑体"/>
          <w:color w:val="000000"/>
          <w:sz w:val="32"/>
          <w:szCs w:val="32"/>
          <w:lang w:eastAsia="zh-CN"/>
        </w:rPr>
        <w:t>）</w:t>
      </w:r>
    </w:p>
    <w:tbl>
      <w:tblPr>
        <w:tblStyle w:val="2"/>
        <w:tblW w:w="87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6946"/>
        <w:gridCol w:w="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tblHeader/>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黑体" w:hAnsi="黑体" w:eastAsia="黑体"/>
                <w:color w:val="000000"/>
                <w:sz w:val="24"/>
              </w:rPr>
            </w:pPr>
            <w:r>
              <w:rPr>
                <w:rFonts w:ascii="黑体" w:hAnsi="黑体" w:eastAsia="黑体"/>
                <w:color w:val="000000"/>
                <w:sz w:val="24"/>
              </w:rPr>
              <w:t>评价</w:t>
            </w:r>
          </w:p>
          <w:p>
            <w:pPr>
              <w:snapToGrid w:val="0"/>
              <w:jc w:val="center"/>
              <w:rPr>
                <w:rFonts w:ascii="黑体" w:hAnsi="黑体" w:eastAsia="黑体"/>
                <w:color w:val="000000"/>
                <w:sz w:val="24"/>
              </w:rPr>
            </w:pPr>
            <w:r>
              <w:rPr>
                <w:rFonts w:ascii="黑体" w:hAnsi="黑体" w:eastAsia="黑体"/>
                <w:color w:val="000000"/>
                <w:sz w:val="24"/>
              </w:rPr>
              <w:t>指标</w:t>
            </w:r>
          </w:p>
        </w:tc>
        <w:tc>
          <w:tcPr>
            <w:tcW w:w="694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黑体" w:hAnsi="黑体" w:eastAsia="黑体"/>
                <w:color w:val="000000"/>
                <w:sz w:val="24"/>
              </w:rPr>
            </w:pPr>
            <w:r>
              <w:rPr>
                <w:rFonts w:ascii="黑体" w:hAnsi="黑体" w:eastAsia="黑体"/>
                <w:color w:val="000000"/>
                <w:sz w:val="24"/>
              </w:rPr>
              <w:t>具体内容</w:t>
            </w:r>
          </w:p>
        </w:tc>
        <w:tc>
          <w:tcPr>
            <w:tcW w:w="67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黑体" w:hAnsi="黑体" w:eastAsia="黑体"/>
                <w:color w:val="000000"/>
                <w:sz w:val="24"/>
              </w:rPr>
            </w:pPr>
            <w:r>
              <w:rPr>
                <w:rFonts w:ascii="黑体" w:hAnsi="黑体" w:eastAsia="黑体"/>
                <w:color w:val="00000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8725"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黑体" w:hAnsi="黑体" w:eastAsia="黑体"/>
                <w:color w:val="000000"/>
                <w:sz w:val="24"/>
                <w:lang w:eastAsia="zh-CN"/>
              </w:rPr>
            </w:pPr>
            <w:r>
              <w:rPr>
                <w:rFonts w:ascii="黑体" w:hAnsi="黑体" w:eastAsia="黑体"/>
                <w:color w:val="000000"/>
                <w:sz w:val="24"/>
              </w:rPr>
              <w:t>课程思政教学设计</w:t>
            </w:r>
            <w:r>
              <w:rPr>
                <w:rFonts w:hint="eastAsia" w:ascii="黑体" w:hAnsi="黑体" w:eastAsia="黑体"/>
                <w:color w:val="000000"/>
                <w:sz w:val="24"/>
                <w:lang w:eastAsia="zh-CN"/>
              </w:rPr>
              <w:t>（</w:t>
            </w:r>
            <w:r>
              <w:rPr>
                <w:rFonts w:hint="eastAsia" w:ascii="黑体" w:hAnsi="黑体" w:eastAsia="黑体"/>
                <w:color w:val="000000"/>
                <w:sz w:val="24"/>
                <w:lang w:val="en-US" w:eastAsia="zh-CN"/>
              </w:rPr>
              <w:t>40分</w:t>
            </w:r>
            <w:r>
              <w:rPr>
                <w:rFonts w:hint="eastAsia" w:ascii="黑体" w:hAnsi="黑体" w:eastAsia="黑体"/>
                <w:color w:val="00000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atLeast"/>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 w:val="24"/>
              </w:rPr>
            </w:pPr>
            <w:r>
              <w:rPr>
                <w:rFonts w:hint="eastAsia" w:ascii="仿宋" w:hAnsi="仿宋" w:eastAsia="仿宋"/>
                <w:sz w:val="24"/>
              </w:rPr>
              <w:t>课程思政体系化设计</w:t>
            </w:r>
          </w:p>
        </w:tc>
        <w:tc>
          <w:tcPr>
            <w:tcW w:w="69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 w:hAnsi="仿宋" w:eastAsia="仿宋"/>
                <w:sz w:val="24"/>
              </w:rPr>
            </w:pPr>
            <w:r>
              <w:rPr>
                <w:rFonts w:hint="eastAsia" w:ascii="仿宋" w:hAnsi="仿宋" w:eastAsia="仿宋"/>
                <w:sz w:val="24"/>
              </w:rPr>
              <w:t>整门课程“课程思政”的体系化设计与人才培养方案相呼应；符合学校办学定位、学生情况、专业人才培养要求，知识体系结构合理，逻辑结构清晰，层次性强</w:t>
            </w:r>
            <w:r>
              <w:rPr>
                <w:rFonts w:ascii="仿宋" w:hAnsi="仿宋" w:eastAsia="仿宋"/>
                <w:sz w:val="24"/>
              </w:rPr>
              <w:t>。</w:t>
            </w:r>
          </w:p>
        </w:tc>
        <w:tc>
          <w:tcPr>
            <w:tcW w:w="67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仿宋" w:hAnsi="仿宋" w:eastAsia="仿宋"/>
                <w:color w:val="000000"/>
                <w:sz w:val="24"/>
                <w:lang w:val="en-US" w:eastAsia="zh-CN"/>
              </w:rPr>
            </w:pPr>
            <w:r>
              <w:rPr>
                <w:rFonts w:hint="eastAsia" w:ascii="仿宋" w:hAnsi="仿宋" w:eastAsia="仿宋"/>
                <w:color w:val="000000"/>
                <w:sz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atLeast"/>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 w:val="24"/>
              </w:rPr>
            </w:pPr>
            <w:r>
              <w:rPr>
                <w:rFonts w:hint="eastAsia" w:ascii="仿宋" w:hAnsi="仿宋" w:eastAsia="仿宋"/>
                <w:sz w:val="24"/>
              </w:rPr>
              <w:t>课程</w:t>
            </w:r>
          </w:p>
          <w:p>
            <w:pPr>
              <w:snapToGrid w:val="0"/>
              <w:jc w:val="center"/>
              <w:rPr>
                <w:rFonts w:ascii="仿宋" w:hAnsi="仿宋" w:eastAsia="仿宋"/>
                <w:sz w:val="24"/>
              </w:rPr>
            </w:pPr>
            <w:r>
              <w:rPr>
                <w:rFonts w:hint="eastAsia" w:ascii="仿宋" w:hAnsi="仿宋" w:eastAsia="仿宋"/>
                <w:sz w:val="24"/>
              </w:rPr>
              <w:t>思政</w:t>
            </w:r>
          </w:p>
          <w:p>
            <w:pPr>
              <w:snapToGrid w:val="0"/>
              <w:jc w:val="center"/>
              <w:rPr>
                <w:rFonts w:ascii="仿宋" w:hAnsi="仿宋" w:eastAsia="仿宋"/>
                <w:sz w:val="24"/>
              </w:rPr>
            </w:pPr>
            <w:r>
              <w:rPr>
                <w:rFonts w:hint="eastAsia" w:ascii="仿宋" w:hAnsi="仿宋" w:eastAsia="仿宋"/>
                <w:sz w:val="24"/>
              </w:rPr>
              <w:t>融入点</w:t>
            </w:r>
          </w:p>
        </w:tc>
        <w:tc>
          <w:tcPr>
            <w:tcW w:w="69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ascii="仿宋" w:hAnsi="仿宋" w:eastAsia="仿宋"/>
                <w:sz w:val="24"/>
              </w:rPr>
            </w:pPr>
            <w:r>
              <w:rPr>
                <w:rFonts w:ascii="仿宋" w:hAnsi="仿宋" w:eastAsia="仿宋"/>
                <w:sz w:val="24"/>
              </w:rPr>
              <w:t>课程思政融入点符合学生认知规律，</w:t>
            </w:r>
            <w:r>
              <w:rPr>
                <w:rFonts w:hint="eastAsia" w:ascii="仿宋" w:hAnsi="仿宋" w:eastAsia="仿宋"/>
                <w:sz w:val="24"/>
              </w:rPr>
              <w:t>启发引导性强</w:t>
            </w:r>
            <w:r>
              <w:rPr>
                <w:rFonts w:ascii="仿宋" w:hAnsi="仿宋" w:eastAsia="仿宋"/>
                <w:sz w:val="24"/>
              </w:rPr>
              <w:t>；课程思政教学资源丰富，信息量充足；能够正确</w:t>
            </w:r>
            <w:r>
              <w:rPr>
                <w:rFonts w:hint="eastAsia" w:ascii="仿宋" w:hAnsi="仿宋" w:eastAsia="仿宋"/>
                <w:sz w:val="24"/>
              </w:rPr>
              <w:t>应用思想政治理论教育的学科思维处理教学内容；思政元素能够和专业知识有机融合。</w:t>
            </w:r>
          </w:p>
        </w:tc>
        <w:tc>
          <w:tcPr>
            <w:tcW w:w="67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仿宋" w:hAnsi="仿宋" w:eastAsia="仿宋"/>
                <w:color w:val="000000"/>
                <w:sz w:val="24"/>
                <w:lang w:val="en-US" w:eastAsia="zh-CN"/>
              </w:rPr>
            </w:pPr>
            <w:r>
              <w:rPr>
                <w:rFonts w:hint="eastAsia" w:ascii="仿宋" w:hAnsi="仿宋" w:eastAsia="仿宋"/>
                <w:color w:val="000000"/>
                <w:sz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8" w:hRule="atLeast"/>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 w:val="24"/>
              </w:rPr>
            </w:pPr>
            <w:r>
              <w:rPr>
                <w:rFonts w:hint="eastAsia" w:ascii="仿宋" w:hAnsi="仿宋" w:eastAsia="仿宋"/>
                <w:sz w:val="24"/>
              </w:rPr>
              <w:t>课程思政实现方式</w:t>
            </w:r>
          </w:p>
        </w:tc>
        <w:tc>
          <w:tcPr>
            <w:tcW w:w="69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ascii="仿宋" w:hAnsi="仿宋" w:eastAsia="仿宋"/>
                <w:sz w:val="24"/>
              </w:rPr>
            </w:pPr>
            <w:r>
              <w:rPr>
                <w:rFonts w:hint="eastAsia" w:ascii="仿宋" w:hAnsi="仿宋" w:eastAsia="仿宋"/>
                <w:sz w:val="24"/>
              </w:rPr>
              <w:t>能够</w:t>
            </w:r>
            <w:r>
              <w:rPr>
                <w:rFonts w:ascii="仿宋" w:hAnsi="仿宋" w:eastAsia="仿宋"/>
                <w:sz w:val="24"/>
              </w:rPr>
              <w:t>对学生学科知识、认知特征和情感态度等内容进行精准分析；能够有效使用各种教学方法和手段；能够恰当使用各种评价方法促进学生学习；能够</w:t>
            </w:r>
            <w:r>
              <w:rPr>
                <w:rFonts w:hint="eastAsia" w:ascii="仿宋" w:hAnsi="仿宋" w:eastAsia="仿宋"/>
                <w:sz w:val="24"/>
              </w:rPr>
              <w:t>激发学生认知、情感和行为的认同</w:t>
            </w:r>
            <w:r>
              <w:rPr>
                <w:rFonts w:ascii="仿宋" w:hAnsi="仿宋" w:eastAsia="仿宋"/>
                <w:sz w:val="24"/>
              </w:rPr>
              <w:t>。</w:t>
            </w:r>
          </w:p>
        </w:tc>
        <w:tc>
          <w:tcPr>
            <w:tcW w:w="67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olor w:val="000000"/>
                <w:sz w:val="24"/>
                <w:lang w:val="en-US" w:eastAsia="zh-CN"/>
              </w:rPr>
            </w:pPr>
            <w:r>
              <w:rPr>
                <w:rFonts w:hint="eastAsia" w:ascii="仿宋" w:hAnsi="仿宋" w:eastAsia="仿宋"/>
                <w:color w:val="000000"/>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8" w:hRule="atLeast"/>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 w:val="24"/>
              </w:rPr>
            </w:pPr>
            <w:r>
              <w:rPr>
                <w:rFonts w:ascii="仿宋" w:hAnsi="仿宋" w:eastAsia="仿宋"/>
                <w:sz w:val="24"/>
              </w:rPr>
              <w:t>专业</w:t>
            </w:r>
          </w:p>
          <w:p>
            <w:pPr>
              <w:snapToGrid w:val="0"/>
              <w:jc w:val="center"/>
              <w:rPr>
                <w:rFonts w:ascii="仿宋" w:hAnsi="仿宋" w:eastAsia="仿宋"/>
                <w:sz w:val="24"/>
              </w:rPr>
            </w:pPr>
            <w:r>
              <w:rPr>
                <w:rFonts w:ascii="仿宋" w:hAnsi="仿宋" w:eastAsia="仿宋"/>
                <w:sz w:val="24"/>
              </w:rPr>
              <w:t>知识</w:t>
            </w:r>
          </w:p>
          <w:p>
            <w:pPr>
              <w:snapToGrid w:val="0"/>
              <w:jc w:val="center"/>
              <w:rPr>
                <w:rFonts w:ascii="仿宋" w:hAnsi="仿宋" w:eastAsia="仿宋"/>
                <w:sz w:val="24"/>
              </w:rPr>
            </w:pPr>
            <w:r>
              <w:rPr>
                <w:rFonts w:ascii="仿宋" w:hAnsi="仿宋" w:eastAsia="仿宋"/>
                <w:sz w:val="24"/>
              </w:rPr>
              <w:t>教学</w:t>
            </w:r>
          </w:p>
        </w:tc>
        <w:tc>
          <w:tcPr>
            <w:tcW w:w="69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仿宋" w:hAnsi="仿宋" w:eastAsia="仿宋"/>
                <w:sz w:val="24"/>
              </w:rPr>
            </w:pPr>
            <w:r>
              <w:rPr>
                <w:rFonts w:hint="eastAsia" w:ascii="仿宋" w:hAnsi="仿宋" w:eastAsia="仿宋"/>
                <w:sz w:val="24"/>
              </w:rPr>
              <w:t>课程知识脉络清晰，教学重点突出，教学难点处理得当；</w:t>
            </w:r>
            <w:r>
              <w:rPr>
                <w:rFonts w:ascii="仿宋" w:hAnsi="仿宋" w:eastAsia="仿宋"/>
                <w:sz w:val="24"/>
              </w:rPr>
              <w:t>教学内容具有较好的“高阶性”、“创新性”和一定的“挑战度”；能够较好的完成知识传授</w:t>
            </w:r>
            <w:r>
              <w:rPr>
                <w:rFonts w:hint="eastAsia" w:ascii="仿宋" w:hAnsi="仿宋" w:eastAsia="仿宋"/>
                <w:sz w:val="24"/>
              </w:rPr>
              <w:t>和</w:t>
            </w:r>
            <w:r>
              <w:rPr>
                <w:rFonts w:ascii="仿宋" w:hAnsi="仿宋" w:eastAsia="仿宋"/>
                <w:sz w:val="24"/>
              </w:rPr>
              <w:t>能力培养的目标。</w:t>
            </w:r>
          </w:p>
        </w:tc>
        <w:tc>
          <w:tcPr>
            <w:tcW w:w="67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sz w:val="24"/>
                <w:lang w:val="en-US" w:eastAsia="zh-CN"/>
              </w:rPr>
            </w:pPr>
            <w:r>
              <w:rPr>
                <w:rFonts w:hint="eastAsia" w:ascii="仿宋" w:hAnsi="仿宋" w:eastAsia="仿宋"/>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24"/>
              </w:rPr>
            </w:pPr>
            <w:r>
              <w:rPr>
                <w:rFonts w:ascii="仿宋" w:hAnsi="仿宋" w:eastAsia="仿宋"/>
                <w:color w:val="000000"/>
                <w:sz w:val="24"/>
              </w:rPr>
              <w:t>教学</w:t>
            </w:r>
          </w:p>
          <w:p>
            <w:pPr>
              <w:snapToGrid w:val="0"/>
              <w:jc w:val="center"/>
              <w:rPr>
                <w:rFonts w:ascii="仿宋" w:hAnsi="仿宋" w:eastAsia="仿宋"/>
                <w:color w:val="000000"/>
                <w:sz w:val="24"/>
              </w:rPr>
            </w:pPr>
            <w:r>
              <w:rPr>
                <w:rFonts w:ascii="仿宋" w:hAnsi="仿宋" w:eastAsia="仿宋"/>
                <w:color w:val="000000"/>
                <w:sz w:val="24"/>
              </w:rPr>
              <w:t>目标</w:t>
            </w:r>
          </w:p>
        </w:tc>
        <w:tc>
          <w:tcPr>
            <w:tcW w:w="69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仿宋" w:hAnsi="仿宋" w:eastAsia="仿宋"/>
                <w:color w:val="000000"/>
                <w:sz w:val="24"/>
              </w:rPr>
            </w:pPr>
            <w:r>
              <w:rPr>
                <w:rFonts w:ascii="仿宋" w:hAnsi="仿宋" w:eastAsia="仿宋"/>
                <w:color w:val="000000"/>
                <w:sz w:val="24"/>
              </w:rPr>
              <w:t>目标设计恰当，符合课程要求、学科特点和学生实际；</w:t>
            </w:r>
            <w:r>
              <w:rPr>
                <w:rFonts w:hint="eastAsia" w:ascii="仿宋" w:hAnsi="仿宋" w:eastAsia="仿宋"/>
                <w:color w:val="000000"/>
                <w:sz w:val="24"/>
              </w:rPr>
              <w:t>知识目标</w:t>
            </w:r>
            <w:r>
              <w:rPr>
                <w:rFonts w:ascii="仿宋" w:hAnsi="仿宋" w:eastAsia="仿宋"/>
                <w:color w:val="000000"/>
                <w:sz w:val="24"/>
              </w:rPr>
              <w:t>具体、可观察、可测评、可达成；思政目标无缝对接知识、能力目标。</w:t>
            </w:r>
          </w:p>
        </w:tc>
        <w:tc>
          <w:tcPr>
            <w:tcW w:w="67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olor w:val="000000"/>
                <w:sz w:val="24"/>
                <w:lang w:val="en-US" w:eastAsia="zh-CN"/>
              </w:rPr>
            </w:pPr>
            <w:r>
              <w:rPr>
                <w:rFonts w:hint="eastAsia" w:ascii="仿宋" w:hAnsi="仿宋" w:eastAsia="仿宋"/>
                <w:color w:val="000000"/>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jc w:val="center"/>
        </w:trPr>
        <w:tc>
          <w:tcPr>
            <w:tcW w:w="1103" w:type="dxa"/>
            <w:tcBorders>
              <w:top w:val="single" w:color="auto" w:sz="4" w:space="0"/>
              <w:left w:val="single" w:color="auto" w:sz="4" w:space="0"/>
              <w:right w:val="single" w:color="auto" w:sz="4" w:space="0"/>
            </w:tcBorders>
            <w:noWrap w:val="0"/>
            <w:vAlign w:val="center"/>
          </w:tcPr>
          <w:p>
            <w:pPr>
              <w:spacing w:line="400" w:lineRule="exact"/>
              <w:jc w:val="center"/>
              <w:rPr>
                <w:rFonts w:ascii="仿宋" w:hAnsi="仿宋" w:eastAsia="仿宋"/>
                <w:color w:val="000000"/>
                <w:sz w:val="24"/>
              </w:rPr>
            </w:pPr>
            <w:r>
              <w:rPr>
                <w:rFonts w:ascii="仿宋" w:hAnsi="仿宋" w:eastAsia="仿宋"/>
                <w:color w:val="000000"/>
                <w:sz w:val="24"/>
              </w:rPr>
              <w:t>教学</w:t>
            </w:r>
          </w:p>
          <w:p>
            <w:pPr>
              <w:spacing w:line="400" w:lineRule="exact"/>
              <w:jc w:val="center"/>
              <w:rPr>
                <w:rFonts w:ascii="仿宋" w:hAnsi="仿宋" w:eastAsia="仿宋"/>
                <w:color w:val="000000"/>
                <w:sz w:val="24"/>
              </w:rPr>
            </w:pPr>
            <w:r>
              <w:rPr>
                <w:rFonts w:ascii="仿宋" w:hAnsi="仿宋" w:eastAsia="仿宋"/>
                <w:color w:val="000000"/>
                <w:sz w:val="24"/>
              </w:rPr>
              <w:t>反思</w:t>
            </w:r>
          </w:p>
        </w:tc>
        <w:tc>
          <w:tcPr>
            <w:tcW w:w="69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ascii="仿宋" w:hAnsi="仿宋" w:eastAsia="仿宋"/>
                <w:color w:val="000000"/>
                <w:sz w:val="24"/>
              </w:rPr>
            </w:pPr>
            <w:r>
              <w:rPr>
                <w:rFonts w:ascii="仿宋" w:hAnsi="仿宋" w:eastAsia="仿宋"/>
                <w:color w:val="000000"/>
                <w:sz w:val="24"/>
              </w:rPr>
              <w:t>能够对教学内容（包含课程思政内容）和过程进行梳理和反思，并做到适时调整，能够提出改进教学的方法。</w:t>
            </w:r>
          </w:p>
        </w:tc>
        <w:tc>
          <w:tcPr>
            <w:tcW w:w="67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仿宋" w:hAnsi="仿宋" w:eastAsia="仿宋"/>
                <w:color w:val="000000"/>
                <w:sz w:val="24"/>
                <w:lang w:val="en-US" w:eastAsia="zh-CN"/>
              </w:rPr>
            </w:pPr>
            <w:r>
              <w:rPr>
                <w:rFonts w:hint="eastAsia" w:ascii="仿宋" w:hAnsi="仿宋" w:eastAsia="仿宋"/>
                <w:color w:val="000000"/>
                <w:sz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jc w:val="center"/>
        </w:trPr>
        <w:tc>
          <w:tcPr>
            <w:tcW w:w="1103" w:type="dxa"/>
            <w:tcBorders>
              <w:top w:val="single" w:color="auto" w:sz="4" w:space="0"/>
              <w:left w:val="single" w:color="auto" w:sz="4" w:space="0"/>
              <w:right w:val="single" w:color="auto" w:sz="4" w:space="0"/>
            </w:tcBorders>
            <w:noWrap w:val="0"/>
            <w:vAlign w:val="center"/>
          </w:tcPr>
          <w:p>
            <w:pPr>
              <w:spacing w:line="400" w:lineRule="exact"/>
              <w:jc w:val="center"/>
              <w:rPr>
                <w:rFonts w:ascii="仿宋" w:hAnsi="仿宋" w:eastAsia="仿宋"/>
                <w:color w:val="000000"/>
                <w:sz w:val="24"/>
              </w:rPr>
            </w:pPr>
            <w:r>
              <w:rPr>
                <w:rFonts w:ascii="仿宋" w:hAnsi="仿宋" w:eastAsia="仿宋"/>
                <w:color w:val="000000"/>
                <w:sz w:val="24"/>
              </w:rPr>
              <w:t>教学</w:t>
            </w:r>
          </w:p>
          <w:p>
            <w:pPr>
              <w:spacing w:line="400" w:lineRule="exact"/>
              <w:jc w:val="center"/>
              <w:rPr>
                <w:rFonts w:ascii="仿宋" w:hAnsi="仿宋" w:eastAsia="仿宋"/>
                <w:color w:val="000000"/>
                <w:sz w:val="24"/>
              </w:rPr>
            </w:pPr>
            <w:r>
              <w:rPr>
                <w:rFonts w:ascii="仿宋" w:hAnsi="仿宋" w:eastAsia="仿宋"/>
                <w:color w:val="000000"/>
                <w:sz w:val="24"/>
              </w:rPr>
              <w:t>效果</w:t>
            </w:r>
          </w:p>
        </w:tc>
        <w:tc>
          <w:tcPr>
            <w:tcW w:w="69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ascii="仿宋" w:hAnsi="仿宋" w:eastAsia="仿宋"/>
                <w:color w:val="000000"/>
                <w:sz w:val="24"/>
              </w:rPr>
            </w:pPr>
            <w:r>
              <w:rPr>
                <w:rFonts w:hint="eastAsia" w:ascii="仿宋" w:hAnsi="仿宋" w:eastAsia="仿宋"/>
                <w:color w:val="000000"/>
                <w:sz w:val="24"/>
              </w:rPr>
              <w:t>学生获得感强，学习体验好，满意度高；能够</w:t>
            </w:r>
            <w:r>
              <w:rPr>
                <w:rFonts w:ascii="仿宋" w:hAnsi="仿宋" w:eastAsia="仿宋"/>
                <w:color w:val="000000"/>
                <w:sz w:val="24"/>
              </w:rPr>
              <w:t>潜移默化地对学生的思想</w:t>
            </w:r>
            <w:r>
              <w:rPr>
                <w:rFonts w:hint="eastAsia" w:ascii="仿宋" w:hAnsi="仿宋" w:eastAsia="仿宋"/>
                <w:color w:val="000000"/>
                <w:sz w:val="24"/>
              </w:rPr>
              <w:t>认识</w:t>
            </w:r>
            <w:r>
              <w:rPr>
                <w:rFonts w:ascii="仿宋" w:hAnsi="仿宋" w:eastAsia="仿宋"/>
                <w:color w:val="000000"/>
                <w:sz w:val="24"/>
              </w:rPr>
              <w:t>、行为举止产生积极影响。</w:t>
            </w:r>
          </w:p>
        </w:tc>
        <w:tc>
          <w:tcPr>
            <w:tcW w:w="67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olor w:val="000000"/>
                <w:sz w:val="24"/>
                <w:lang w:val="en-US" w:eastAsia="zh-CN"/>
              </w:rPr>
            </w:pPr>
            <w:r>
              <w:rPr>
                <w:rFonts w:hint="eastAsia" w:ascii="仿宋" w:hAnsi="仿宋" w:eastAsia="仿宋"/>
                <w:color w:val="000000"/>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8725" w:type="dxa"/>
            <w:gridSpan w:val="3"/>
            <w:tcBorders>
              <w:top w:val="single" w:color="auto" w:sz="4" w:space="0"/>
              <w:left w:val="single" w:color="auto" w:sz="4" w:space="0"/>
              <w:right w:val="single" w:color="auto" w:sz="4" w:space="0"/>
            </w:tcBorders>
            <w:noWrap w:val="0"/>
            <w:vAlign w:val="center"/>
          </w:tcPr>
          <w:p>
            <w:pPr>
              <w:spacing w:line="400" w:lineRule="exact"/>
              <w:jc w:val="center"/>
              <w:rPr>
                <w:rFonts w:hint="eastAsia" w:ascii="仿宋" w:hAnsi="仿宋" w:eastAsia="仿宋"/>
                <w:color w:val="000000"/>
                <w:sz w:val="24"/>
                <w:lang w:val="en-US" w:eastAsia="zh-CN"/>
              </w:rPr>
            </w:pPr>
            <w:r>
              <w:rPr>
                <w:rFonts w:ascii="黑体" w:hAnsi="黑体" w:eastAsia="黑体"/>
                <w:color w:val="000000"/>
                <w:sz w:val="24"/>
              </w:rPr>
              <w:t>课程思政</w:t>
            </w:r>
            <w:r>
              <w:rPr>
                <w:rFonts w:hint="eastAsia" w:ascii="黑体" w:hAnsi="黑体" w:eastAsia="黑体"/>
                <w:color w:val="000000"/>
                <w:sz w:val="24"/>
                <w:lang w:eastAsia="zh-CN"/>
              </w:rPr>
              <w:t>说课（</w:t>
            </w:r>
            <w:r>
              <w:rPr>
                <w:rFonts w:hint="eastAsia" w:ascii="黑体" w:hAnsi="黑体" w:eastAsia="黑体"/>
                <w:color w:val="000000"/>
                <w:sz w:val="24"/>
                <w:lang w:val="en-US" w:eastAsia="zh-CN"/>
              </w:rPr>
              <w:t>40分</w:t>
            </w:r>
            <w:r>
              <w:rPr>
                <w:rFonts w:hint="eastAsia" w:ascii="黑体" w:hAnsi="黑体" w:eastAsia="黑体"/>
                <w:color w:val="00000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jc w:val="center"/>
        </w:trPr>
        <w:tc>
          <w:tcPr>
            <w:tcW w:w="1103"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仿宋" w:hAnsi="仿宋" w:eastAsia="仿宋"/>
                <w:color w:val="000000"/>
                <w:sz w:val="24"/>
              </w:rPr>
            </w:pPr>
            <w:r>
              <w:rPr>
                <w:rFonts w:ascii="仿宋" w:hAnsi="仿宋" w:eastAsia="仿宋"/>
                <w:color w:val="000000"/>
                <w:sz w:val="24"/>
              </w:rPr>
              <w:t>课程</w:t>
            </w: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cs="Times New Roman"/>
                <w:bCs/>
                <w:color w:val="000000"/>
                <w:kern w:val="2"/>
                <w:sz w:val="24"/>
                <w:szCs w:val="22"/>
                <w:lang w:val="en-US" w:eastAsia="zh-CN" w:bidi="ar-SA"/>
              </w:rPr>
            </w:pPr>
            <w:r>
              <w:rPr>
                <w:rFonts w:ascii="仿宋" w:hAnsi="仿宋" w:eastAsia="仿宋"/>
                <w:color w:val="000000"/>
                <w:sz w:val="24"/>
              </w:rPr>
              <w:t>目标</w:t>
            </w:r>
          </w:p>
        </w:tc>
        <w:tc>
          <w:tcPr>
            <w:tcW w:w="69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黑体" w:hAnsi="黑体" w:eastAsia="黑体" w:cs="Times New Roman"/>
                <w:bCs/>
                <w:color w:val="000000"/>
                <w:kern w:val="2"/>
                <w:sz w:val="24"/>
                <w:szCs w:val="22"/>
                <w:lang w:val="en-US" w:eastAsia="zh-CN" w:bidi="ar-SA"/>
              </w:rPr>
            </w:pPr>
            <w:r>
              <w:rPr>
                <w:rFonts w:ascii="仿宋" w:hAnsi="仿宋" w:eastAsia="仿宋"/>
                <w:color w:val="000000"/>
                <w:sz w:val="24"/>
              </w:rPr>
              <w:t>课程目标符合专业人才培养要求；能够明确体现</w:t>
            </w:r>
            <w:r>
              <w:rPr>
                <w:rFonts w:hint="eastAsia" w:ascii="仿宋" w:hAnsi="仿宋" w:eastAsia="仿宋"/>
                <w:color w:val="000000"/>
                <w:sz w:val="24"/>
              </w:rPr>
              <w:t>价值塑造、知识传授和能力培养的要求。</w:t>
            </w:r>
          </w:p>
        </w:tc>
        <w:tc>
          <w:tcPr>
            <w:tcW w:w="6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黑体" w:hAnsi="黑体" w:eastAsia="黑体" w:cs="Times New Roman"/>
                <w:bCs/>
                <w:color w:val="000000"/>
                <w:kern w:val="2"/>
                <w:sz w:val="24"/>
                <w:szCs w:val="22"/>
                <w:lang w:val="en-US" w:eastAsia="zh-CN" w:bidi="ar-SA"/>
              </w:rPr>
            </w:pPr>
            <w:r>
              <w:rPr>
                <w:rFonts w:hint="eastAsia" w:ascii="仿宋" w:hAnsi="仿宋" w:eastAsia="仿宋"/>
                <w:color w:val="000000"/>
                <w:sz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jc w:val="center"/>
        </w:trPr>
        <w:tc>
          <w:tcPr>
            <w:tcW w:w="1103"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仿宋" w:hAnsi="仿宋" w:eastAsia="仿宋"/>
                <w:color w:val="000000"/>
                <w:sz w:val="24"/>
              </w:rPr>
            </w:pPr>
            <w:r>
              <w:rPr>
                <w:rFonts w:ascii="仿宋" w:hAnsi="仿宋" w:eastAsia="仿宋"/>
                <w:color w:val="000000"/>
                <w:sz w:val="24"/>
              </w:rPr>
              <w:t>教学</w:t>
            </w: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cs="Times New Roman"/>
                <w:bCs/>
                <w:color w:val="000000"/>
                <w:kern w:val="2"/>
                <w:sz w:val="24"/>
                <w:szCs w:val="22"/>
                <w:lang w:val="en-US" w:eastAsia="zh-CN" w:bidi="ar-SA"/>
              </w:rPr>
            </w:pPr>
            <w:r>
              <w:rPr>
                <w:rFonts w:ascii="仿宋" w:hAnsi="仿宋" w:eastAsia="仿宋"/>
                <w:color w:val="000000"/>
                <w:sz w:val="24"/>
              </w:rPr>
              <w:t>内容</w:t>
            </w:r>
          </w:p>
        </w:tc>
        <w:tc>
          <w:tcPr>
            <w:tcW w:w="69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黑体" w:hAnsi="黑体" w:eastAsia="黑体" w:cs="Times New Roman"/>
                <w:bCs/>
                <w:color w:val="000000"/>
                <w:kern w:val="2"/>
                <w:sz w:val="24"/>
                <w:szCs w:val="22"/>
                <w:lang w:val="en-US" w:eastAsia="zh-CN" w:bidi="ar-SA"/>
              </w:rPr>
            </w:pPr>
            <w:r>
              <w:rPr>
                <w:rFonts w:hint="eastAsia" w:ascii="仿宋" w:hAnsi="仿宋" w:eastAsia="仿宋"/>
                <w:color w:val="000000"/>
                <w:sz w:val="24"/>
              </w:rPr>
              <w:t>能够梳理、归纳课程核心知识点；能够清晰呈现课程知识体系及内在关系；能够拓展课程内容到学科发展的新成果或实践应用中。</w:t>
            </w:r>
          </w:p>
        </w:tc>
        <w:tc>
          <w:tcPr>
            <w:tcW w:w="6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黑体" w:hAnsi="黑体" w:eastAsia="黑体" w:cs="Times New Roman"/>
                <w:bCs/>
                <w:color w:val="000000"/>
                <w:kern w:val="2"/>
                <w:sz w:val="24"/>
                <w:szCs w:val="22"/>
                <w:lang w:val="en-US" w:eastAsia="zh-CN" w:bidi="ar-SA"/>
              </w:rPr>
            </w:pPr>
            <w:r>
              <w:rPr>
                <w:rFonts w:hint="eastAsia" w:ascii="仿宋" w:hAnsi="仿宋" w:eastAsia="仿宋"/>
                <w:color w:val="000000"/>
                <w:sz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jc w:val="center"/>
        </w:trPr>
        <w:tc>
          <w:tcPr>
            <w:tcW w:w="1103"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cs="Times New Roman"/>
                <w:bCs/>
                <w:color w:val="000000"/>
                <w:kern w:val="2"/>
                <w:sz w:val="24"/>
                <w:szCs w:val="22"/>
                <w:lang w:val="en-US" w:eastAsia="zh-CN" w:bidi="ar-SA"/>
              </w:rPr>
            </w:pPr>
          </w:p>
        </w:tc>
        <w:tc>
          <w:tcPr>
            <w:tcW w:w="69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黑体" w:hAnsi="黑体" w:eastAsia="黑体" w:cs="Times New Roman"/>
                <w:bCs/>
                <w:color w:val="000000"/>
                <w:kern w:val="2"/>
                <w:sz w:val="24"/>
                <w:szCs w:val="22"/>
                <w:lang w:val="en-US" w:eastAsia="zh-CN" w:bidi="ar-SA"/>
              </w:rPr>
            </w:pPr>
            <w:r>
              <w:rPr>
                <w:rFonts w:ascii="仿宋" w:hAnsi="仿宋" w:eastAsia="仿宋"/>
                <w:color w:val="000000"/>
                <w:sz w:val="24"/>
              </w:rPr>
              <w:t>善于挖掘、提炼课程蕴含的育人</w:t>
            </w:r>
            <w:r>
              <w:rPr>
                <w:rFonts w:hint="eastAsia" w:ascii="仿宋" w:hAnsi="仿宋" w:eastAsia="仿宋"/>
                <w:color w:val="000000"/>
                <w:sz w:val="24"/>
              </w:rPr>
              <w:t>元</w:t>
            </w:r>
            <w:r>
              <w:rPr>
                <w:rFonts w:ascii="仿宋" w:hAnsi="仿宋" w:eastAsia="仿宋"/>
                <w:color w:val="000000"/>
                <w:sz w:val="24"/>
              </w:rPr>
              <w:t>素；能将知识传授</w:t>
            </w:r>
            <w:r>
              <w:rPr>
                <w:rFonts w:hint="eastAsia" w:ascii="仿宋" w:hAnsi="仿宋" w:eastAsia="仿宋"/>
                <w:color w:val="000000"/>
                <w:sz w:val="24"/>
              </w:rPr>
              <w:t>、能力培养、价值塑造三者有效</w:t>
            </w:r>
            <w:r>
              <w:rPr>
                <w:rFonts w:ascii="仿宋" w:hAnsi="仿宋" w:eastAsia="仿宋"/>
                <w:color w:val="000000"/>
                <w:sz w:val="24"/>
              </w:rPr>
              <w:t>融合；</w:t>
            </w:r>
            <w:r>
              <w:rPr>
                <w:rFonts w:hint="eastAsia" w:ascii="仿宋" w:hAnsi="仿宋" w:eastAsia="仿宋"/>
                <w:color w:val="000000"/>
                <w:sz w:val="24"/>
              </w:rPr>
              <w:t>课程思政设计体系化、特色化；对思政元素的课堂融入合理，带入得当。</w:t>
            </w:r>
          </w:p>
        </w:tc>
        <w:tc>
          <w:tcPr>
            <w:tcW w:w="6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黑体" w:hAnsi="黑体" w:eastAsia="黑体" w:cs="Times New Roman"/>
                <w:bCs/>
                <w:color w:val="000000"/>
                <w:kern w:val="2"/>
                <w:sz w:val="24"/>
                <w:szCs w:val="22"/>
                <w:lang w:val="en-US" w:eastAsia="zh-CN" w:bidi="ar-SA"/>
              </w:rPr>
            </w:pPr>
            <w:r>
              <w:rPr>
                <w:rFonts w:hint="eastAsia" w:ascii="仿宋" w:hAnsi="仿宋" w:eastAsia="仿宋"/>
                <w:color w:val="000000"/>
                <w:sz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jc w:val="center"/>
        </w:trPr>
        <w:tc>
          <w:tcPr>
            <w:tcW w:w="1103" w:type="dxa"/>
            <w:vMerge w:val="restart"/>
            <w:tcBorders>
              <w:top w:val="single" w:color="auto" w:sz="4" w:space="0"/>
              <w:left w:val="single" w:color="auto" w:sz="4" w:space="0"/>
              <w:right w:val="single" w:color="auto" w:sz="4" w:space="0"/>
            </w:tcBorders>
            <w:noWrap w:val="0"/>
            <w:vAlign w:val="center"/>
          </w:tcPr>
          <w:p>
            <w:pPr>
              <w:spacing w:line="400" w:lineRule="exact"/>
              <w:jc w:val="center"/>
              <w:rPr>
                <w:rFonts w:hint="eastAsia" w:ascii="仿宋" w:hAnsi="仿宋" w:eastAsia="仿宋"/>
                <w:color w:val="000000"/>
                <w:sz w:val="24"/>
                <w:lang w:val="en-US" w:eastAsia="zh-CN"/>
              </w:rPr>
            </w:pPr>
            <w:r>
              <w:rPr>
                <w:rFonts w:hint="eastAsia" w:ascii="仿宋" w:hAnsi="仿宋" w:eastAsia="仿宋"/>
                <w:color w:val="000000"/>
                <w:sz w:val="24"/>
                <w:lang w:val="en-US" w:eastAsia="zh-CN"/>
              </w:rPr>
              <w:t>教学</w:t>
            </w:r>
          </w:p>
          <w:p>
            <w:pPr>
              <w:spacing w:line="400" w:lineRule="exact"/>
              <w:jc w:val="center"/>
              <w:rPr>
                <w:rFonts w:hint="eastAsia" w:ascii="仿宋" w:hAnsi="仿宋" w:eastAsia="仿宋"/>
                <w:color w:val="000000"/>
                <w:sz w:val="24"/>
                <w:lang w:val="en-US" w:eastAsia="zh-CN"/>
              </w:rPr>
            </w:pPr>
            <w:r>
              <w:rPr>
                <w:rFonts w:hint="eastAsia" w:ascii="仿宋" w:hAnsi="仿宋" w:eastAsia="仿宋"/>
                <w:color w:val="000000"/>
                <w:sz w:val="24"/>
                <w:lang w:val="en-US" w:eastAsia="zh-CN"/>
              </w:rPr>
              <w:t>方法</w:t>
            </w:r>
          </w:p>
        </w:tc>
        <w:tc>
          <w:tcPr>
            <w:tcW w:w="69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黑体" w:hAnsi="黑体" w:eastAsia="黑体" w:cs="Times New Roman"/>
                <w:bCs/>
                <w:color w:val="000000"/>
                <w:kern w:val="2"/>
                <w:sz w:val="24"/>
                <w:szCs w:val="22"/>
                <w:lang w:val="en-US" w:eastAsia="zh-CN" w:bidi="ar-SA"/>
              </w:rPr>
            </w:pPr>
            <w:r>
              <w:rPr>
                <w:rFonts w:ascii="仿宋" w:hAnsi="仿宋" w:eastAsia="仿宋"/>
                <w:color w:val="000000"/>
                <w:sz w:val="24"/>
              </w:rPr>
              <w:t>善于综合运用现代信息技术手段和数字资源把思政教育巧妙渗透教学全过程；教学方法运用恰当，教学策略使用有效。</w:t>
            </w:r>
          </w:p>
        </w:tc>
        <w:tc>
          <w:tcPr>
            <w:tcW w:w="6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黑体" w:hAnsi="黑体" w:eastAsia="黑体" w:cs="Times New Roman"/>
                <w:bCs/>
                <w:color w:val="000000"/>
                <w:kern w:val="2"/>
                <w:sz w:val="24"/>
                <w:szCs w:val="22"/>
                <w:lang w:val="en-US" w:eastAsia="zh-CN" w:bidi="ar-SA"/>
              </w:rPr>
            </w:pPr>
            <w:r>
              <w:rPr>
                <w:rFonts w:hint="eastAsia" w:ascii="仿宋" w:hAnsi="仿宋" w:eastAsia="仿宋"/>
                <w:color w:val="000000"/>
                <w:sz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jc w:val="center"/>
        </w:trPr>
        <w:tc>
          <w:tcPr>
            <w:tcW w:w="1103"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cs="Times New Roman"/>
                <w:bCs/>
                <w:color w:val="000000"/>
                <w:kern w:val="2"/>
                <w:sz w:val="24"/>
                <w:szCs w:val="22"/>
                <w:lang w:val="en-US" w:eastAsia="zh-CN" w:bidi="ar-SA"/>
              </w:rPr>
            </w:pPr>
          </w:p>
        </w:tc>
        <w:tc>
          <w:tcPr>
            <w:tcW w:w="69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黑体" w:hAnsi="黑体" w:eastAsia="黑体" w:cs="Times New Roman"/>
                <w:bCs/>
                <w:color w:val="000000"/>
                <w:kern w:val="2"/>
                <w:sz w:val="24"/>
                <w:szCs w:val="22"/>
                <w:lang w:val="en-US" w:eastAsia="zh-CN" w:bidi="ar-SA"/>
              </w:rPr>
            </w:pPr>
            <w:r>
              <w:rPr>
                <w:rFonts w:ascii="仿宋" w:hAnsi="仿宋" w:eastAsia="仿宋"/>
                <w:color w:val="000000"/>
                <w:sz w:val="24"/>
              </w:rPr>
              <w:t>教学活动组织合理，能够</w:t>
            </w:r>
            <w:r>
              <w:rPr>
                <w:rFonts w:hint="eastAsia" w:ascii="仿宋" w:hAnsi="仿宋" w:eastAsia="仿宋"/>
                <w:color w:val="000000"/>
                <w:sz w:val="24"/>
              </w:rPr>
              <w:t>充分发挥教师主导、学生主体的作用；能够培养学生解决问题能力、创新思维能力和批判能力；</w:t>
            </w:r>
            <w:r>
              <w:rPr>
                <w:rFonts w:ascii="仿宋" w:hAnsi="仿宋" w:eastAsia="仿宋"/>
                <w:color w:val="000000"/>
                <w:sz w:val="24"/>
              </w:rPr>
              <w:t>注重教学互动，能够调动学生参与课堂积极性。</w:t>
            </w:r>
          </w:p>
        </w:tc>
        <w:tc>
          <w:tcPr>
            <w:tcW w:w="6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黑体" w:hAnsi="黑体" w:eastAsia="黑体" w:cs="Times New Roman"/>
                <w:bCs/>
                <w:color w:val="000000"/>
                <w:kern w:val="2"/>
                <w:sz w:val="24"/>
                <w:szCs w:val="22"/>
                <w:lang w:val="en-US" w:eastAsia="zh-CN" w:bidi="ar-SA"/>
              </w:rPr>
            </w:pPr>
            <w:r>
              <w:rPr>
                <w:rFonts w:hint="eastAsia" w:ascii="仿宋" w:hAnsi="仿宋" w:eastAsia="仿宋"/>
                <w:color w:val="000000"/>
                <w:sz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jc w:val="center"/>
        </w:trPr>
        <w:tc>
          <w:tcPr>
            <w:tcW w:w="1103"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仿宋" w:hAnsi="仿宋" w:eastAsia="仿宋"/>
                <w:color w:val="000000"/>
                <w:sz w:val="24"/>
              </w:rPr>
            </w:pPr>
            <w:r>
              <w:rPr>
                <w:rFonts w:ascii="仿宋" w:hAnsi="仿宋" w:eastAsia="仿宋"/>
                <w:color w:val="000000"/>
                <w:sz w:val="24"/>
              </w:rPr>
              <w:t>教学</w:t>
            </w:r>
          </w:p>
          <w:p>
            <w:pPr>
              <w:spacing w:line="400" w:lineRule="exact"/>
              <w:jc w:val="center"/>
              <w:rPr>
                <w:rFonts w:ascii="仿宋" w:hAnsi="仿宋" w:eastAsia="仿宋"/>
                <w:color w:val="000000"/>
                <w:sz w:val="24"/>
              </w:rPr>
            </w:pPr>
            <w:r>
              <w:rPr>
                <w:rFonts w:ascii="仿宋" w:hAnsi="仿宋" w:eastAsia="仿宋"/>
                <w:color w:val="000000"/>
                <w:sz w:val="24"/>
              </w:rPr>
              <w:t>效果</w:t>
            </w:r>
          </w:p>
        </w:tc>
        <w:tc>
          <w:tcPr>
            <w:tcW w:w="69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黑体" w:hAnsi="黑体" w:eastAsia="黑体" w:cs="Times New Roman"/>
                <w:bCs/>
                <w:color w:val="000000"/>
                <w:kern w:val="2"/>
                <w:sz w:val="24"/>
                <w:szCs w:val="22"/>
                <w:lang w:val="en-US" w:eastAsia="zh-CN" w:bidi="ar-SA"/>
              </w:rPr>
            </w:pPr>
            <w:r>
              <w:rPr>
                <w:rFonts w:ascii="仿宋" w:hAnsi="仿宋" w:eastAsia="仿宋"/>
                <w:color w:val="000000"/>
                <w:sz w:val="24"/>
              </w:rPr>
              <w:t>能够有效达成教学目标；注重思想理论教育和价值引领，学生获得感强；课程特色鲜明，具有较强的示范性。</w:t>
            </w:r>
          </w:p>
        </w:tc>
        <w:tc>
          <w:tcPr>
            <w:tcW w:w="6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黑体" w:hAnsi="黑体" w:eastAsia="黑体" w:cs="Times New Roman"/>
                <w:bCs/>
                <w:color w:val="000000"/>
                <w:kern w:val="2"/>
                <w:sz w:val="24"/>
                <w:szCs w:val="22"/>
                <w:lang w:val="en-US" w:eastAsia="zh-CN" w:bidi="ar-SA"/>
              </w:rPr>
            </w:pPr>
            <w:r>
              <w:rPr>
                <w:rFonts w:hint="eastAsia" w:ascii="仿宋" w:hAnsi="仿宋" w:eastAsia="仿宋"/>
                <w:color w:val="000000"/>
                <w:sz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8" w:hRule="atLeast"/>
          <w:jc w:val="center"/>
        </w:trPr>
        <w:tc>
          <w:tcPr>
            <w:tcW w:w="1103"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cs="Times New Roman"/>
                <w:bCs/>
                <w:color w:val="000000"/>
                <w:kern w:val="2"/>
                <w:sz w:val="24"/>
                <w:szCs w:val="22"/>
                <w:lang w:val="en-US" w:eastAsia="zh-CN" w:bidi="ar-SA"/>
              </w:rPr>
            </w:pPr>
            <w:r>
              <w:rPr>
                <w:rFonts w:ascii="仿宋" w:hAnsi="仿宋" w:eastAsia="仿宋"/>
                <w:color w:val="000000"/>
                <w:sz w:val="24"/>
              </w:rPr>
              <w:t>教师素养与创新特色</w:t>
            </w:r>
          </w:p>
        </w:tc>
        <w:tc>
          <w:tcPr>
            <w:tcW w:w="69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黑体" w:hAnsi="黑体" w:eastAsia="黑体" w:cs="Times New Roman"/>
                <w:bCs/>
                <w:color w:val="000000"/>
                <w:kern w:val="2"/>
                <w:sz w:val="24"/>
                <w:szCs w:val="22"/>
                <w:lang w:val="en-US" w:eastAsia="zh-CN" w:bidi="ar-SA"/>
              </w:rPr>
            </w:pPr>
            <w:r>
              <w:rPr>
                <w:rFonts w:ascii="仿宋" w:hAnsi="仿宋" w:eastAsia="仿宋"/>
                <w:color w:val="000000"/>
                <w:sz w:val="24"/>
              </w:rPr>
              <w:t>具有良好的专业素养、科学精神、人文情怀；教态大方，举止得体，精神饱满，综合素质高；个人教学特色突出。</w:t>
            </w:r>
          </w:p>
        </w:tc>
        <w:tc>
          <w:tcPr>
            <w:tcW w:w="6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黑体" w:hAnsi="黑体" w:eastAsia="黑体" w:cs="Times New Roman"/>
                <w:bCs/>
                <w:color w:val="000000"/>
                <w:kern w:val="2"/>
                <w:sz w:val="24"/>
                <w:szCs w:val="22"/>
                <w:lang w:val="en-US" w:eastAsia="zh-CN" w:bidi="ar-SA"/>
              </w:rPr>
            </w:pPr>
            <w:r>
              <w:rPr>
                <w:rFonts w:hint="eastAsia" w:ascii="仿宋" w:hAnsi="仿宋" w:eastAsia="仿宋"/>
                <w:color w:val="000000"/>
                <w:sz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8725" w:type="dxa"/>
            <w:gridSpan w:val="3"/>
            <w:tcBorders>
              <w:top w:val="single" w:color="auto" w:sz="4" w:space="0"/>
              <w:left w:val="single" w:color="auto" w:sz="4" w:space="0"/>
              <w:right w:val="single" w:color="auto" w:sz="4" w:space="0"/>
            </w:tcBorders>
            <w:noWrap w:val="0"/>
            <w:vAlign w:val="center"/>
          </w:tcPr>
          <w:p>
            <w:pPr>
              <w:spacing w:line="400" w:lineRule="exact"/>
              <w:jc w:val="center"/>
              <w:rPr>
                <w:rFonts w:hint="eastAsia" w:ascii="黑体" w:hAnsi="黑体" w:eastAsia="黑体"/>
                <w:color w:val="000000"/>
                <w:sz w:val="24"/>
                <w:lang w:eastAsia="zh-CN"/>
              </w:rPr>
            </w:pPr>
            <w:r>
              <w:rPr>
                <w:rFonts w:ascii="黑体" w:hAnsi="黑体" w:eastAsia="黑体"/>
                <w:color w:val="000000"/>
                <w:sz w:val="24"/>
              </w:rPr>
              <w:t>课程思政</w:t>
            </w:r>
            <w:r>
              <w:rPr>
                <w:rFonts w:hint="eastAsia" w:ascii="黑体" w:hAnsi="黑体" w:eastAsia="黑体"/>
                <w:color w:val="000000"/>
                <w:sz w:val="24"/>
                <w:lang w:eastAsia="zh-CN"/>
              </w:rPr>
              <w:t>现场教学（</w:t>
            </w:r>
            <w:r>
              <w:rPr>
                <w:rFonts w:hint="eastAsia" w:ascii="黑体" w:hAnsi="黑体" w:eastAsia="黑体"/>
                <w:color w:val="000000"/>
                <w:sz w:val="24"/>
                <w:lang w:val="en-US" w:eastAsia="zh-CN"/>
              </w:rPr>
              <w:t>20分</w:t>
            </w:r>
            <w:r>
              <w:rPr>
                <w:rFonts w:hint="eastAsia" w:ascii="黑体" w:hAnsi="黑体" w:eastAsia="黑体"/>
                <w:color w:val="00000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2" w:hRule="atLeast"/>
          <w:jc w:val="center"/>
        </w:trPr>
        <w:tc>
          <w:tcPr>
            <w:tcW w:w="1103" w:type="dxa"/>
            <w:tcBorders>
              <w:top w:val="single" w:color="auto" w:sz="4" w:space="0"/>
              <w:left w:val="single" w:color="auto" w:sz="4" w:space="0"/>
              <w:right w:val="single" w:color="auto" w:sz="4" w:space="0"/>
            </w:tcBorders>
            <w:noWrap w:val="0"/>
            <w:vAlign w:val="center"/>
          </w:tcPr>
          <w:p>
            <w:pPr>
              <w:spacing w:line="400" w:lineRule="exact"/>
              <w:jc w:val="center"/>
              <w:rPr>
                <w:rFonts w:ascii="仿宋" w:hAnsi="仿宋" w:eastAsia="仿宋"/>
                <w:color w:val="000000"/>
                <w:sz w:val="24"/>
              </w:rPr>
            </w:pPr>
            <w:r>
              <w:rPr>
                <w:rFonts w:ascii="仿宋" w:hAnsi="仿宋" w:eastAsia="仿宋"/>
                <w:color w:val="000000"/>
                <w:sz w:val="24"/>
              </w:rPr>
              <w:t>视频</w:t>
            </w:r>
          </w:p>
          <w:p>
            <w:pPr>
              <w:spacing w:line="400" w:lineRule="exact"/>
              <w:jc w:val="center"/>
              <w:rPr>
                <w:rFonts w:ascii="仿宋" w:hAnsi="仿宋" w:eastAsia="仿宋"/>
                <w:color w:val="000000"/>
                <w:sz w:val="24"/>
              </w:rPr>
            </w:pPr>
            <w:r>
              <w:rPr>
                <w:rFonts w:ascii="仿宋" w:hAnsi="仿宋" w:eastAsia="仿宋"/>
                <w:color w:val="000000"/>
                <w:sz w:val="24"/>
              </w:rPr>
              <w:t>制作</w:t>
            </w:r>
          </w:p>
        </w:tc>
        <w:tc>
          <w:tcPr>
            <w:tcW w:w="69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 w:hAnsi="仿宋" w:eastAsia="仿宋"/>
                <w:color w:val="000000"/>
                <w:sz w:val="24"/>
              </w:rPr>
            </w:pPr>
            <w:r>
              <w:rPr>
                <w:rFonts w:hint="eastAsia" w:ascii="仿宋" w:hAnsi="仿宋" w:eastAsia="仿宋"/>
                <w:color w:val="000000"/>
                <w:sz w:val="24"/>
              </w:rPr>
              <w:t>各种媒体制作精细,吸引力强，能够激发学生学习兴趣；视频内容设计合理，整体风格统一，文字大小合适、画面清晰、美观。</w:t>
            </w:r>
          </w:p>
        </w:tc>
        <w:tc>
          <w:tcPr>
            <w:tcW w:w="67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color w:val="000000"/>
                <w:sz w:val="24"/>
              </w:rPr>
            </w:pPr>
            <w:r>
              <w:rPr>
                <w:rFonts w:hint="eastAsia" w:ascii="仿宋" w:hAnsi="仿宋" w:eastAsia="仿宋"/>
                <w:color w:val="00000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8" w:hRule="atLeast"/>
          <w:jc w:val="center"/>
        </w:trPr>
        <w:tc>
          <w:tcPr>
            <w:tcW w:w="1103" w:type="dxa"/>
            <w:tcBorders>
              <w:top w:val="single" w:color="auto" w:sz="4" w:space="0"/>
              <w:left w:val="single" w:color="auto" w:sz="4" w:space="0"/>
              <w:right w:val="single" w:color="auto" w:sz="4" w:space="0"/>
            </w:tcBorders>
            <w:noWrap w:val="0"/>
            <w:vAlign w:val="center"/>
          </w:tcPr>
          <w:p>
            <w:pPr>
              <w:spacing w:line="400" w:lineRule="exact"/>
              <w:jc w:val="center"/>
              <w:rPr>
                <w:rFonts w:ascii="仿宋" w:hAnsi="仿宋" w:eastAsia="仿宋"/>
                <w:color w:val="000000"/>
                <w:sz w:val="24"/>
              </w:rPr>
            </w:pPr>
            <w:r>
              <w:rPr>
                <w:rFonts w:ascii="仿宋" w:hAnsi="仿宋" w:eastAsia="仿宋"/>
                <w:color w:val="000000"/>
                <w:sz w:val="24"/>
              </w:rPr>
              <w:t>视频</w:t>
            </w:r>
          </w:p>
          <w:p>
            <w:pPr>
              <w:spacing w:line="400" w:lineRule="exact"/>
              <w:jc w:val="center"/>
              <w:rPr>
                <w:rFonts w:ascii="仿宋" w:hAnsi="仿宋" w:eastAsia="仿宋"/>
                <w:color w:val="000000"/>
                <w:sz w:val="24"/>
              </w:rPr>
            </w:pPr>
            <w:r>
              <w:rPr>
                <w:rFonts w:ascii="仿宋" w:hAnsi="仿宋" w:eastAsia="仿宋"/>
                <w:color w:val="000000"/>
                <w:sz w:val="24"/>
              </w:rPr>
              <w:t>内容</w:t>
            </w:r>
          </w:p>
        </w:tc>
        <w:tc>
          <w:tcPr>
            <w:tcW w:w="69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 w:hAnsi="仿宋" w:eastAsia="仿宋"/>
                <w:color w:val="000000"/>
                <w:sz w:val="24"/>
              </w:rPr>
            </w:pPr>
            <w:r>
              <w:rPr>
                <w:rFonts w:hint="eastAsia" w:ascii="仿宋" w:hAnsi="仿宋" w:eastAsia="仿宋"/>
                <w:color w:val="000000"/>
                <w:sz w:val="24"/>
              </w:rPr>
              <w:t>重点难点突出，启发引导性强；符合认知规律，有利于激发学生主动学习；能</w:t>
            </w:r>
            <w:r>
              <w:rPr>
                <w:rFonts w:ascii="仿宋" w:hAnsi="仿宋" w:eastAsia="仿宋"/>
                <w:color w:val="000000"/>
                <w:sz w:val="24"/>
              </w:rPr>
              <w:t>找准“思政内容”与专业知识的契合点</w:t>
            </w:r>
            <w:r>
              <w:rPr>
                <w:rFonts w:hint="eastAsia" w:ascii="仿宋" w:hAnsi="仿宋" w:eastAsia="仿宋"/>
                <w:color w:val="000000"/>
                <w:sz w:val="24"/>
              </w:rPr>
              <w:t>，思政元素融入合理，授课内容能体现课程思政育人。</w:t>
            </w:r>
          </w:p>
        </w:tc>
        <w:tc>
          <w:tcPr>
            <w:tcW w:w="67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color w:val="000000"/>
                <w:sz w:val="24"/>
              </w:rPr>
            </w:pPr>
            <w:r>
              <w:rPr>
                <w:rFonts w:hint="eastAsia" w:ascii="仿宋" w:hAnsi="仿宋" w:eastAsia="仿宋"/>
                <w:color w:val="00000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103" w:type="dxa"/>
            <w:tcBorders>
              <w:top w:val="single" w:color="auto" w:sz="4" w:space="0"/>
              <w:left w:val="single" w:color="auto" w:sz="4" w:space="0"/>
              <w:right w:val="single" w:color="auto" w:sz="4" w:space="0"/>
            </w:tcBorders>
            <w:noWrap w:val="0"/>
            <w:vAlign w:val="center"/>
          </w:tcPr>
          <w:p>
            <w:pPr>
              <w:spacing w:line="400" w:lineRule="exact"/>
              <w:jc w:val="center"/>
              <w:rPr>
                <w:rFonts w:ascii="仿宋" w:hAnsi="仿宋" w:eastAsia="仿宋"/>
                <w:color w:val="000000"/>
                <w:sz w:val="24"/>
              </w:rPr>
            </w:pPr>
            <w:r>
              <w:rPr>
                <w:rFonts w:ascii="仿宋" w:hAnsi="仿宋" w:eastAsia="仿宋"/>
                <w:color w:val="000000"/>
                <w:sz w:val="24"/>
              </w:rPr>
              <w:t>仪表</w:t>
            </w:r>
          </w:p>
          <w:p>
            <w:pPr>
              <w:spacing w:line="400" w:lineRule="exact"/>
              <w:jc w:val="center"/>
              <w:rPr>
                <w:rFonts w:ascii="仿宋" w:hAnsi="仿宋" w:eastAsia="仿宋"/>
                <w:color w:val="000000"/>
                <w:sz w:val="24"/>
              </w:rPr>
            </w:pPr>
            <w:r>
              <w:rPr>
                <w:rFonts w:ascii="仿宋" w:hAnsi="仿宋" w:eastAsia="仿宋"/>
                <w:color w:val="000000"/>
                <w:sz w:val="24"/>
              </w:rPr>
              <w:t>教态</w:t>
            </w:r>
          </w:p>
        </w:tc>
        <w:tc>
          <w:tcPr>
            <w:tcW w:w="69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 w:hAnsi="仿宋" w:eastAsia="仿宋"/>
                <w:color w:val="000000"/>
                <w:sz w:val="24"/>
              </w:rPr>
            </w:pPr>
            <w:r>
              <w:rPr>
                <w:rFonts w:ascii="仿宋" w:hAnsi="仿宋" w:eastAsia="仿宋"/>
                <w:color w:val="000000"/>
                <w:sz w:val="24"/>
              </w:rPr>
              <w:t>仪表端庄，教态亲切、自然</w:t>
            </w:r>
            <w:r>
              <w:rPr>
                <w:rFonts w:hint="eastAsia" w:ascii="仿宋" w:hAnsi="仿宋" w:eastAsia="仿宋"/>
                <w:color w:val="000000"/>
                <w:sz w:val="24"/>
              </w:rPr>
              <w:t>；</w:t>
            </w:r>
            <w:r>
              <w:rPr>
                <w:rFonts w:ascii="仿宋" w:hAnsi="仿宋" w:eastAsia="仿宋"/>
                <w:color w:val="000000"/>
                <w:sz w:val="24"/>
              </w:rPr>
              <w:t>语言流利，表达顺畅、有感染力、自然、富有逻辑性、普通话标准并富有情感。</w:t>
            </w:r>
          </w:p>
        </w:tc>
        <w:tc>
          <w:tcPr>
            <w:tcW w:w="67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color w:val="000000"/>
                <w:sz w:val="24"/>
              </w:rPr>
            </w:pPr>
            <w:r>
              <w:rPr>
                <w:rFonts w:hint="eastAsia" w:ascii="仿宋" w:hAnsi="仿宋" w:eastAsia="仿宋"/>
                <w:color w:val="000000"/>
                <w:sz w:val="24"/>
              </w:rPr>
              <w:t>5</w:t>
            </w:r>
          </w:p>
        </w:tc>
      </w:tr>
    </w:tbl>
    <w:p>
      <w:pPr>
        <w:spacing w:line="520" w:lineRule="exact"/>
        <w:ind w:firstLine="640" w:firstLineChars="200"/>
        <w:rPr>
          <w:rFonts w:ascii="黑体" w:hAnsi="黑体" w:eastAsia="黑体"/>
          <w:color w:val="000000"/>
          <w:sz w:val="32"/>
          <w:szCs w:val="32"/>
        </w:rPr>
      </w:pPr>
    </w:p>
    <w:p>
      <w:pPr>
        <w:spacing w:line="520" w:lineRule="exact"/>
        <w:ind w:firstLine="640" w:firstLineChars="200"/>
        <w:rPr>
          <w:rFonts w:ascii="黑体" w:hAnsi="黑体" w:eastAsia="黑体"/>
          <w:color w:val="00000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1MmZhNjcxNjg5YzJjYTc4MzA5M2UyNmRjODQ3NTIifQ=="/>
  </w:docVars>
  <w:rsids>
    <w:rsidRoot w:val="73CC56ED"/>
    <w:rsid w:val="055E5956"/>
    <w:rsid w:val="06216B76"/>
    <w:rsid w:val="0C262473"/>
    <w:rsid w:val="3D140FA3"/>
    <w:rsid w:val="58247055"/>
    <w:rsid w:val="62C7476E"/>
    <w:rsid w:val="73504D4A"/>
    <w:rsid w:val="73CC56ED"/>
    <w:rsid w:val="78C34220"/>
    <w:rsid w:val="7A213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1194</Words>
  <Characters>1202</Characters>
  <Lines>0</Lines>
  <Paragraphs>0</Paragraphs>
  <TotalTime>3</TotalTime>
  <ScaleCrop>false</ScaleCrop>
  <LinksUpToDate>false</LinksUpToDate>
  <CharactersWithSpaces>1206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2022-09-21T03:42:00Z</dcterms:created>
  <dc:creator>Sugar</dc:creator>
  <cp:lastModifiedBy>WPS_1559565733</cp:lastModifiedBy>
  <cp:lastPrinted>2022-09-22T03:41:18Z</cp:lastPrinted>
  <dcterms:modified xsi:type="dcterms:W3CDTF">2022-09-22T03:42:09Z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08679978B1134BC08CCD6D268AFD864E</vt:lpwstr>
  </property>
</Properties>
</file>