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182" w:beforeAutospacing="0" w:after="76" w:afterAutospacing="0" w:line="315" w:lineRule="atLeast"/>
        <w:ind w:left="76" w:right="76"/>
        <w:jc w:val="center"/>
      </w:pPr>
      <w:r>
        <w:rPr>
          <w:rFonts w:ascii="黑体" w:hAnsi="宋体" w:eastAsia="黑体" w:cs="黑体"/>
          <w:b/>
          <w:bCs/>
          <w:color w:val="000000"/>
          <w:sz w:val="43"/>
          <w:szCs w:val="43"/>
          <w:shd w:val="clear" w:fill="FFFFFF"/>
        </w:rPr>
        <w:t>201</w:t>
      </w:r>
      <w:r>
        <w:rPr>
          <w:rFonts w:hint="eastAsia" w:ascii="黑体" w:hAnsi="宋体" w:eastAsia="黑体" w:cs="黑体"/>
          <w:b/>
          <w:bCs/>
          <w:color w:val="000000"/>
          <w:sz w:val="43"/>
          <w:szCs w:val="43"/>
          <w:shd w:val="clear" w:fill="FFFFFF"/>
        </w:rPr>
        <w:t>6-2017学年</w:t>
      </w:r>
    </w:p>
    <w:p>
      <w:pPr>
        <w:pStyle w:val="2"/>
        <w:keepNext w:val="0"/>
        <w:keepLines w:val="0"/>
        <w:widowControl/>
        <w:suppressLineNumbers w:val="0"/>
        <w:wordWrap/>
        <w:spacing w:before="182" w:beforeAutospacing="0" w:after="76" w:afterAutospacing="0" w:line="27" w:lineRule="atLeast"/>
        <w:ind w:left="76" w:right="76"/>
        <w:jc w:val="center"/>
      </w:pPr>
      <w:r>
        <w:rPr>
          <w:rFonts w:hint="eastAsia" w:ascii="黑体" w:hAnsi="宋体" w:eastAsia="黑体" w:cs="黑体"/>
          <w:b/>
          <w:bCs/>
          <w:color w:val="000000"/>
          <w:sz w:val="43"/>
          <w:szCs w:val="43"/>
          <w:shd w:val="clear" w:fill="FFFFFF"/>
        </w:rPr>
        <w:t>本科教学质量报告</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eastAsia" w:ascii="宋体" w:hAnsi="宋体" w:eastAsia="宋体" w:cs="宋体"/>
          <w:color w:val="676767"/>
          <w:sz w:val="24"/>
          <w:szCs w:val="24"/>
          <w:shd w:val="clear" w:fill="FFFFFF"/>
        </w:rPr>
        <w:t>山西应用科技学院是经国家教育部批准成立的全日制普通本科院校，是山西省首批转型为应用技术型本科的试点院校。学校以培养高素质应用型人才为目标，以倡导创新、创造、创业精神、培养创新型人才为宗旨，是一所融入现代教育理念的普通高校。</w:t>
      </w:r>
    </w:p>
    <w:p>
      <w:pPr>
        <w:pStyle w:val="2"/>
        <w:keepNext w:val="0"/>
        <w:keepLines w:val="0"/>
        <w:widowControl/>
        <w:suppressLineNumbers w:val="0"/>
        <w:wordWrap/>
        <w:spacing w:before="182" w:beforeAutospacing="0" w:after="76" w:afterAutospacing="0" w:line="27" w:lineRule="atLeast"/>
        <w:ind w:left="76" w:right="76"/>
        <w:jc w:val="left"/>
      </w:pPr>
      <w:r>
        <w:rPr>
          <w:rFonts w:hint="eastAsia" w:ascii="宋体" w:hAnsi="宋体" w:eastAsia="宋体" w:cs="宋体"/>
          <w:color w:val="676767"/>
          <w:sz w:val="24"/>
          <w:szCs w:val="24"/>
          <w:shd w:val="clear" w:fill="FFFFFF"/>
        </w:rPr>
        <w:t>建校26年来，学校坚持“以质量求生存，以特色求发展”的办学方针，以“追求应用型与学术性融合、致力于专业与产业链接轨”为核心理念，始终以“专家治校，名师执教”为立校之本，践行“产教融合、校企合作、学用结合”的育人之路，为社会输送了大量人才，赢得了社会的广泛赞誉。</w:t>
      </w:r>
    </w:p>
    <w:p>
      <w:pPr>
        <w:pStyle w:val="2"/>
        <w:keepNext w:val="0"/>
        <w:keepLines w:val="0"/>
        <w:widowControl/>
        <w:suppressLineNumbers w:val="0"/>
        <w:wordWrap/>
        <w:spacing w:before="182" w:beforeAutospacing="0" w:after="76" w:afterAutospacing="0" w:line="27" w:lineRule="atLeast"/>
        <w:ind w:left="76" w:right="76"/>
        <w:jc w:val="left"/>
      </w:pPr>
      <w:r>
        <w:rPr>
          <w:rFonts w:hint="eastAsia" w:ascii="宋体" w:hAnsi="宋体" w:eastAsia="宋体" w:cs="宋体"/>
          <w:color w:val="676767"/>
          <w:sz w:val="24"/>
          <w:szCs w:val="24"/>
          <w:shd w:val="clear" w:fill="FFFFFF"/>
        </w:rPr>
        <w:t>  “立足山西，面向全国，走向世界，开拓未来”是学校的发展目标。2016年6月，学校成为山西省应用型本科试点高校。2017年2月，学校成为山西省深化创新创业教育改革示范高校。这将为学校的跨越发展插上腾飞的翅膀。学校位于山西省综改示范区腹地，这将有利于学校成为山西转型综改示范区的人才供应链、蓄水池，我们决心将学校打造成综改示范区的黄埔军校，直接服务于转型综改区，培养更多的适应社会需求的技术技能型的应用型人才。</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1.本科教育基本情况</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1.1</w:t>
      </w:r>
      <w:r>
        <w:rPr>
          <w:rFonts w:hint="eastAsia" w:ascii="黑体" w:hAnsi="宋体" w:eastAsia="黑体" w:cs="黑体"/>
          <w:color w:val="676767"/>
          <w:sz w:val="28"/>
          <w:szCs w:val="28"/>
          <w:shd w:val="clear" w:fill="FFFFFF"/>
        </w:rPr>
        <w:t>人才培养目标</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山西应用科技学院始终坚持</w:t>
      </w:r>
      <w:r>
        <w:rPr>
          <w:rFonts w:hint="eastAsia" w:ascii="宋体" w:hAnsi="宋体" w:eastAsia="宋体" w:cs="宋体"/>
          <w:color w:val="676767"/>
          <w:sz w:val="24"/>
          <w:szCs w:val="24"/>
          <w:shd w:val="clear" w:fill="FFFFFF"/>
        </w:rPr>
        <w:t>以“追求应用型与学术融合，致力于课程与市场接轨”为核心办学理念，</w:t>
      </w:r>
      <w:r>
        <w:rPr>
          <w:rFonts w:hint="default" w:ascii="Times New Roman" w:hAnsi="Times New Roman" w:eastAsia="微软雅黑" w:cs="Times New Roman"/>
          <w:color w:val="676767"/>
          <w:sz w:val="24"/>
          <w:szCs w:val="24"/>
          <w:shd w:val="clear" w:fill="FFFFFF"/>
        </w:rPr>
        <w:t>坚持应用型办学方向，坚持构建“产教融合、校企合作”协同育人的“双主体”人才培养模式，</w:t>
      </w:r>
      <w:r>
        <w:rPr>
          <w:rFonts w:hint="eastAsia" w:ascii="微软雅黑" w:hAnsi="微软雅黑" w:eastAsia="微软雅黑" w:cs="微软雅黑"/>
          <w:color w:val="676767"/>
          <w:sz w:val="24"/>
          <w:szCs w:val="24"/>
          <w:shd w:val="clear" w:fill="FFFFFF"/>
        </w:rPr>
        <w:t>力求实现“专业建设与市场需求对接，课程内容与职业标准对接，教学过程与生产过程对接，毕业证书与职业资格证书对接，职业教育与终身学习对接”。倡导“创新、创业、创造”的三创精神，</w:t>
      </w:r>
      <w:r>
        <w:rPr>
          <w:rFonts w:hint="default" w:ascii="Times New Roman" w:hAnsi="Times New Roman" w:eastAsia="微软雅黑" w:cs="Times New Roman"/>
          <w:color w:val="676767"/>
          <w:sz w:val="24"/>
          <w:szCs w:val="24"/>
          <w:shd w:val="clear" w:fill="FFFFFF"/>
        </w:rPr>
        <w:t>培养面向生产服务一线，具有良好道德品质、勇于创新精神和高度社会责任感，理论功底扎实、实践能力突出、拥有就业创业能力、具备继续学习能力的高素质应用型、技术技能型人才。</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1.2</w:t>
      </w:r>
      <w:r>
        <w:rPr>
          <w:rFonts w:hint="eastAsia" w:ascii="黑体" w:hAnsi="宋体" w:eastAsia="黑体" w:cs="黑体"/>
          <w:color w:val="676767"/>
          <w:sz w:val="28"/>
          <w:szCs w:val="28"/>
          <w:shd w:val="clear" w:fill="FFFFFF"/>
        </w:rPr>
        <w:t>在校生规模</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2016-2017学年，我校全日制在校学生10387人，其中12个本科专业共计4542人，高职生5845人。本科生占全日制在校总数的比例为43.73%。</w:t>
      </w:r>
    </w:p>
    <w:p>
      <w:pPr>
        <w:pStyle w:val="2"/>
        <w:keepNext w:val="0"/>
        <w:keepLines w:val="0"/>
        <w:widowControl/>
        <w:suppressLineNumbers w:val="0"/>
        <w:wordWrap/>
        <w:spacing w:before="182" w:beforeAutospacing="0" w:after="76" w:afterAutospacing="0" w:line="27" w:lineRule="atLeast"/>
        <w:ind w:left="76" w:right="76"/>
        <w:jc w:val="center"/>
      </w:pPr>
      <w:r>
        <w:rPr>
          <w:rFonts w:hint="default" w:ascii="Times New Roman" w:hAnsi="Times New Roman" w:eastAsia="微软雅黑" w:cs="Times New Roman"/>
          <w:b/>
          <w:bCs/>
          <w:color w:val="676767"/>
          <w:sz w:val="19"/>
          <w:szCs w:val="19"/>
          <w:shd w:val="clear" w:fill="FFFFFF"/>
        </w:rPr>
        <w:t>表1 </w:t>
      </w:r>
      <w:r>
        <w:rPr>
          <w:rFonts w:hint="eastAsia" w:ascii="黑体" w:hAnsi="宋体" w:eastAsia="黑体" w:cs="黑体"/>
          <w:b/>
          <w:bCs/>
          <w:color w:val="676767"/>
          <w:sz w:val="19"/>
          <w:szCs w:val="19"/>
          <w:shd w:val="clear" w:fill="FFFFFF"/>
        </w:rPr>
        <w:t>本科各专业在校生人数及占所有在校本科生人数的比例</w:t>
      </w:r>
    </w:p>
    <w:p>
      <w:pPr>
        <w:pStyle w:val="2"/>
        <w:keepNext w:val="0"/>
        <w:keepLines w:val="0"/>
        <w:widowControl/>
        <w:suppressLineNumbers w:val="0"/>
        <w:wordWrap/>
        <w:spacing w:before="182" w:beforeAutospacing="0" w:after="76" w:afterAutospacing="0" w:line="27" w:lineRule="atLeast"/>
        <w:ind w:left="76" w:right="76"/>
        <w:jc w:val="left"/>
      </w:pPr>
    </w:p>
    <w:tbl>
      <w:tblPr>
        <w:tblW w:w="0" w:type="auto"/>
        <w:tblInd w:w="76"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1105"/>
        <w:gridCol w:w="1484"/>
        <w:gridCol w:w="789"/>
        <w:gridCol w:w="1723"/>
        <w:gridCol w:w="1674"/>
        <w:gridCol w:w="175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专业名称</w:t>
            </w:r>
          </w:p>
        </w:tc>
        <w:tc>
          <w:tcPr>
            <w:tcW w:w="250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在校生人数</w:t>
            </w:r>
          </w:p>
        </w:tc>
        <w:tc>
          <w:tcPr>
            <w:tcW w:w="109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合计</w:t>
            </w:r>
          </w:p>
        </w:tc>
        <w:tc>
          <w:tcPr>
            <w:tcW w:w="29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占所有在校本科生比例</w:t>
            </w:r>
          </w:p>
        </w:tc>
        <w:tc>
          <w:tcPr>
            <w:tcW w:w="29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9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2014</w:t>
            </w:r>
            <w:r>
              <w:rPr>
                <w:rFonts w:hint="default" w:ascii="Times New Roman" w:hAnsi="Times New Roman" w:eastAsia="宋体" w:cs="Times New Roman"/>
                <w:kern w:val="0"/>
                <w:sz w:val="19"/>
                <w:szCs w:val="19"/>
                <w:bdr w:val="none" w:color="auto" w:sz="0" w:space="0"/>
                <w:lang w:val="en-US" w:eastAsia="zh-CN" w:bidi="ar"/>
              </w:rPr>
              <w:t>级</w:t>
            </w: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2015</w:t>
            </w:r>
            <w:r>
              <w:rPr>
                <w:rFonts w:hint="default" w:ascii="Times New Roman" w:hAnsi="Times New Roman" w:eastAsia="宋体" w:cs="Times New Roman"/>
                <w:kern w:val="0"/>
                <w:sz w:val="19"/>
                <w:szCs w:val="19"/>
                <w:bdr w:val="none" w:color="auto" w:sz="0" w:space="0"/>
                <w:lang w:val="en-US" w:eastAsia="zh-CN" w:bidi="ar"/>
              </w:rPr>
              <w:t>级</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2016级</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工程造价</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334</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310</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644</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14.18%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工程管理</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330</w:t>
            </w: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189</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117</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636</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14.00%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土木工程</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215</w:t>
            </w: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257</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69</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541</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11.91%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风景园林</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144</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144</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计算机科学与技术</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88</w:t>
            </w: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137</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115</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340</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7.49%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汽车服务工程</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35</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35</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0.77%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电子商务</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344</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344</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7.57%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酒店管理</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84</w:t>
            </w: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76</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64</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224</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4.93%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物流管理</w:t>
            </w:r>
          </w:p>
        </w:tc>
        <w:tc>
          <w:tcPr>
            <w:tcW w:w="7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212</w:t>
            </w:r>
          </w:p>
        </w:tc>
        <w:tc>
          <w:tcPr>
            <w:tcW w:w="89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187</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165</w:t>
            </w:r>
          </w:p>
        </w:tc>
        <w:tc>
          <w:tcPr>
            <w:tcW w:w="10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564</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12.42%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8"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音乐表演</w:t>
            </w:r>
          </w:p>
        </w:tc>
        <w:tc>
          <w:tcPr>
            <w:tcW w:w="80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150</w:t>
            </w:r>
          </w:p>
        </w:tc>
        <w:tc>
          <w:tcPr>
            <w:tcW w:w="10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150</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8"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播音与主持艺术</w:t>
            </w:r>
          </w:p>
        </w:tc>
        <w:tc>
          <w:tcPr>
            <w:tcW w:w="80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236</w:t>
            </w:r>
          </w:p>
        </w:tc>
        <w:tc>
          <w:tcPr>
            <w:tcW w:w="10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236</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5.20%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8"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视觉传达设计</w:t>
            </w:r>
          </w:p>
        </w:tc>
        <w:tc>
          <w:tcPr>
            <w:tcW w:w="80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89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326</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358</w:t>
            </w:r>
          </w:p>
        </w:tc>
        <w:tc>
          <w:tcPr>
            <w:tcW w:w="10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684</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15.06%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738"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合计</w:t>
            </w:r>
          </w:p>
        </w:tc>
        <w:tc>
          <w:tcPr>
            <w:tcW w:w="80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929</w:t>
            </w:r>
          </w:p>
        </w:tc>
        <w:tc>
          <w:tcPr>
            <w:tcW w:w="89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1506</w:t>
            </w:r>
          </w:p>
        </w:tc>
        <w:tc>
          <w:tcPr>
            <w:tcW w:w="8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2107</w:t>
            </w:r>
          </w:p>
        </w:tc>
        <w:tc>
          <w:tcPr>
            <w:tcW w:w="109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4542</w:t>
            </w:r>
          </w:p>
        </w:tc>
        <w:tc>
          <w:tcPr>
            <w:tcW w:w="299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100%</w:t>
            </w:r>
          </w:p>
        </w:tc>
      </w:tr>
    </w:tbl>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1.3专业设置</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现有建工学院、工程学院、财经学院、管理学院、艺术学院、基础教学部5院1部。2016-2017学年我校设有工程造价、工程管理、土木工程、风景园林、计算机科学与技术、汽车服务工程、电子商务、酒店管理、物流管理、音乐表演、播音与主持艺术、视觉传达设计12个本科专业，涵盖</w:t>
      </w:r>
      <w:r>
        <w:rPr>
          <w:rFonts w:hint="eastAsia" w:ascii="宋体" w:hAnsi="宋体" w:eastAsia="宋体" w:cs="宋体"/>
          <w:color w:val="676767"/>
          <w:sz w:val="24"/>
          <w:szCs w:val="24"/>
          <w:shd w:val="clear" w:fill="FFFFFF"/>
        </w:rPr>
        <w:t>工学、管理学、艺术学3个学科门类；机械类、计算机类、土木类、建筑类、管理科学与工程类、物流管理与工程类、工商管理类、电子商务类、旅游管理类、音乐与舞蹈学类、戏剧与影视学类、设计学类12个二级学科门类。</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1.4生源质量</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我校本科招生专业12个，无停招本科专业，无撤销本科专业。招生工作面向全省有招生计划的11个地市应往届高中及同等学历的毕业生，实际录取本科生2403人，主要集中在山西省内。其中，文科录取最高分数为478分，理科录取最高分数为434分。</w:t>
      </w:r>
    </w:p>
    <w:p>
      <w:pPr>
        <w:pStyle w:val="2"/>
        <w:keepNext w:val="0"/>
        <w:keepLines w:val="0"/>
        <w:widowControl/>
        <w:suppressLineNumbers w:val="0"/>
        <w:wordWrap/>
        <w:spacing w:before="182" w:beforeAutospacing="0" w:after="76" w:afterAutospacing="0" w:line="27" w:lineRule="atLeast"/>
        <w:ind w:left="76" w:right="76"/>
        <w:jc w:val="center"/>
      </w:pPr>
      <w:r>
        <w:rPr>
          <w:rFonts w:hint="default" w:ascii="Times New Roman" w:hAnsi="Times New Roman" w:eastAsia="微软雅黑" w:cs="Times New Roman"/>
          <w:b/>
          <w:bCs/>
          <w:color w:val="676767"/>
          <w:sz w:val="19"/>
          <w:szCs w:val="19"/>
          <w:shd w:val="clear" w:fill="FFFFFF"/>
        </w:rPr>
        <w:t>表2 我校本科生录取分数线（山西省）</w:t>
      </w:r>
    </w:p>
    <w:p>
      <w:pPr>
        <w:pStyle w:val="2"/>
        <w:keepNext w:val="0"/>
        <w:keepLines w:val="0"/>
        <w:widowControl/>
        <w:suppressLineNumbers w:val="0"/>
        <w:wordWrap/>
        <w:spacing w:before="182" w:beforeAutospacing="0" w:after="76" w:afterAutospacing="0" w:line="27" w:lineRule="atLeast"/>
        <w:ind w:left="76" w:right="76"/>
        <w:jc w:val="left"/>
      </w:pPr>
    </w:p>
    <w:tbl>
      <w:tblPr>
        <w:tblW w:w="0" w:type="auto"/>
        <w:tblInd w:w="76"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1486"/>
        <w:gridCol w:w="1486"/>
        <w:gridCol w:w="2779"/>
        <w:gridCol w:w="2779"/>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kern w:val="0"/>
                <w:sz w:val="19"/>
                <w:szCs w:val="19"/>
                <w:bdr w:val="none" w:color="auto" w:sz="0" w:space="0"/>
                <w:lang w:val="en-US" w:eastAsia="zh-CN" w:bidi="ar"/>
              </w:rPr>
              <w:t>年份</w:t>
            </w:r>
          </w:p>
        </w:tc>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kern w:val="0"/>
                <w:sz w:val="19"/>
                <w:szCs w:val="19"/>
                <w:bdr w:val="none" w:color="auto" w:sz="0" w:space="0"/>
                <w:lang w:val="en-US" w:eastAsia="zh-CN" w:bidi="ar"/>
              </w:rPr>
              <w:t>类别</w:t>
            </w:r>
          </w:p>
          <w:p>
            <w:pPr>
              <w:pStyle w:val="2"/>
              <w:keepNext w:val="0"/>
              <w:keepLines w:val="0"/>
              <w:widowControl/>
              <w:suppressLineNumbers w:val="0"/>
              <w:wordWrap w:val="0"/>
              <w:spacing w:before="0" w:beforeAutospacing="0" w:after="0"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kern w:val="0"/>
                <w:sz w:val="19"/>
                <w:szCs w:val="19"/>
                <w:bdr w:val="none" w:color="auto" w:sz="0" w:space="0"/>
                <w:lang w:val="en-US" w:eastAsia="zh-CN" w:bidi="ar"/>
              </w:rPr>
              <w:t>录取批次</w:t>
            </w:r>
          </w:p>
        </w:tc>
        <w:tc>
          <w:tcPr>
            <w:tcW w:w="426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kern w:val="0"/>
                <w:sz w:val="19"/>
                <w:szCs w:val="19"/>
                <w:bdr w:val="none" w:color="auto" w:sz="0" w:space="0"/>
                <w:lang w:val="en-US" w:eastAsia="zh-CN" w:bidi="ar"/>
              </w:rPr>
              <w:t>二本C</w:t>
            </w:r>
          </w:p>
        </w:tc>
        <w:tc>
          <w:tcPr>
            <w:tcW w:w="426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kern w:val="0"/>
                <w:sz w:val="19"/>
                <w:szCs w:val="19"/>
                <w:bdr w:val="none" w:color="auto" w:sz="0" w:space="0"/>
                <w:lang w:val="en-US" w:eastAsia="zh-CN" w:bidi="ar"/>
              </w:rPr>
              <w:t>最低分</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kern w:val="0"/>
                <w:sz w:val="19"/>
                <w:szCs w:val="19"/>
                <w:bdr w:val="none" w:color="auto" w:sz="0" w:space="0"/>
                <w:lang w:val="en-US" w:eastAsia="zh-CN" w:bidi="ar"/>
              </w:rPr>
              <w:t>最高分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2015</w:t>
            </w:r>
          </w:p>
        </w:tc>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文</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390</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456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理</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302</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501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2016</w:t>
            </w:r>
          </w:p>
        </w:tc>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文</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350</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478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13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kern w:val="0"/>
                <w:sz w:val="19"/>
                <w:szCs w:val="19"/>
                <w:bdr w:val="none" w:color="auto" w:sz="0" w:space="0"/>
                <w:lang w:val="en-US" w:eastAsia="zh-CN" w:bidi="ar"/>
              </w:rPr>
              <w:t>理</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300</w:t>
            </w:r>
          </w:p>
        </w:tc>
        <w:tc>
          <w:tcPr>
            <w:tcW w:w="21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434</w:t>
            </w:r>
          </w:p>
        </w:tc>
      </w:tr>
    </w:tbl>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jc w:val="left"/>
      </w:pPr>
      <w:r>
        <w:rPr>
          <w:rFonts w:hint="eastAsia" w:ascii="宋体" w:hAnsi="宋体" w:eastAsia="宋体" w:cs="宋体"/>
          <w:color w:val="676767"/>
          <w:sz w:val="19"/>
          <w:szCs w:val="19"/>
          <w:shd w:val="clear" w:fill="FFFFFF"/>
        </w:rPr>
        <w:t>表2显示，</w:t>
      </w:r>
      <w:r>
        <w:rPr>
          <w:rFonts w:hint="default" w:ascii="Times New Roman" w:hAnsi="Times New Roman" w:eastAsia="微软雅黑" w:cs="Times New Roman"/>
          <w:color w:val="676767"/>
          <w:sz w:val="24"/>
          <w:szCs w:val="24"/>
          <w:shd w:val="clear" w:fill="FFFFFF"/>
        </w:rPr>
        <w:t>2016年我校文科最低录取分数线较2014年、2015年有所提高，生源质量也在不断提高。</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2.师资队伍建设情况</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为了提高教育教学质量，为社会培养更优秀的人才，学校人事处加大招聘和选拔力度，规范招聘与面试流程，大批优秀应届毕业生、有工作经验的高职称人才和归国留学人员充实到学校的教师队伍中，使学校教师队伍结构趋于合理，教学质量和教学水平有了较大的提高。同时，为了加强学校的教学和管理水平，形成合理的教师梯队，推动各学科建设和专业的发展，学校还积极引进有丰富教学和管理经验的学科和专业带头人来改善教师队伍的学历、职称、年龄和学缘结构。</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2.1</w:t>
      </w:r>
      <w:r>
        <w:rPr>
          <w:rFonts w:hint="eastAsia" w:ascii="黑体" w:hAnsi="宋体" w:eastAsia="黑体" w:cs="黑体"/>
          <w:color w:val="676767"/>
          <w:sz w:val="28"/>
          <w:szCs w:val="28"/>
          <w:shd w:val="clear" w:fill="FFFFFF"/>
        </w:rPr>
        <w:t>教师数量与结构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2016-2017学年，学校共有教师531人，其中专任教师455人，聘请校外教师152人，生师比为19.85：1。</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000000"/>
          <w:sz w:val="24"/>
          <w:szCs w:val="24"/>
          <w:shd w:val="clear" w:fill="FFFFFF"/>
        </w:rPr>
        <w:t>2.1.1.</w:t>
      </w:r>
      <w:r>
        <w:rPr>
          <w:rFonts w:hint="eastAsia" w:ascii="黑体" w:hAnsi="宋体" w:eastAsia="黑体" w:cs="黑体"/>
          <w:color w:val="000000"/>
          <w:sz w:val="24"/>
          <w:szCs w:val="24"/>
          <w:shd w:val="clear" w:fill="FFFFFF"/>
        </w:rPr>
        <w:t>职称结构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2016-2017学年专任教师队伍中，具有高级职称教师145人，其中教授45人，副教授100人。具有高级职称教师占专任教师总数的31.87%。另外，专任教师队伍中讲师120人，其他中级5人，助教146人，无职称39人。</w:t>
      </w:r>
    </w:p>
    <w:p>
      <w:pPr>
        <w:pStyle w:val="2"/>
        <w:keepNext w:val="0"/>
        <w:keepLines w:val="0"/>
        <w:widowControl/>
        <w:suppressLineNumbers w:val="0"/>
        <w:wordWrap/>
        <w:spacing w:before="182" w:beforeAutospacing="0" w:after="76" w:afterAutospacing="0" w:line="27" w:lineRule="atLeast"/>
        <w:ind w:left="76" w:right="76"/>
        <w:jc w:val="center"/>
      </w:pPr>
      <w:r>
        <w:rPr>
          <w:rFonts w:hint="default" w:ascii="Times New Roman" w:hAnsi="Times New Roman" w:eastAsia="微软雅黑" w:cs="Times New Roman"/>
          <w:b/>
          <w:bCs/>
          <w:color w:val="000000"/>
          <w:sz w:val="19"/>
          <w:szCs w:val="19"/>
          <w:shd w:val="clear" w:fill="FFFFFF"/>
        </w:rPr>
        <w:t>表3 专任教师职称结构状况表</w:t>
      </w:r>
    </w:p>
    <w:p>
      <w:pPr>
        <w:pStyle w:val="2"/>
        <w:keepNext w:val="0"/>
        <w:keepLines w:val="0"/>
        <w:widowControl/>
        <w:suppressLineNumbers w:val="0"/>
        <w:wordWrap/>
        <w:spacing w:before="182" w:beforeAutospacing="0" w:after="76" w:afterAutospacing="0" w:line="27" w:lineRule="atLeast"/>
        <w:ind w:left="76" w:right="76"/>
        <w:jc w:val="left"/>
      </w:pPr>
    </w:p>
    <w:tbl>
      <w:tblPr>
        <w:tblW w:w="0" w:type="auto"/>
        <w:tblInd w:w="76"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633"/>
        <w:gridCol w:w="624"/>
        <w:gridCol w:w="781"/>
        <w:gridCol w:w="931"/>
        <w:gridCol w:w="805"/>
        <w:gridCol w:w="1006"/>
        <w:gridCol w:w="869"/>
        <w:gridCol w:w="1006"/>
        <w:gridCol w:w="869"/>
        <w:gridCol w:w="1006"/>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时间</w:t>
            </w: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教师数</w:t>
            </w:r>
          </w:p>
        </w:tc>
        <w:tc>
          <w:tcPr>
            <w:tcW w:w="152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教授</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副教授</w:t>
            </w:r>
          </w:p>
        </w:tc>
        <w:tc>
          <w:tcPr>
            <w:tcW w:w="161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讲师</w:t>
            </w:r>
          </w:p>
        </w:tc>
        <w:tc>
          <w:tcPr>
            <w:tcW w:w="1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助教及以下</w:t>
            </w:r>
          </w:p>
        </w:tc>
        <w:tc>
          <w:tcPr>
            <w:tcW w:w="1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64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88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c>
          <w:tcPr>
            <w:tcW w:w="71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c>
          <w:tcPr>
            <w:tcW w:w="82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101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2016.09</w:t>
            </w: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455</w:t>
            </w:r>
          </w:p>
        </w:tc>
        <w:tc>
          <w:tcPr>
            <w:tcW w:w="64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45</w:t>
            </w:r>
          </w:p>
        </w:tc>
        <w:tc>
          <w:tcPr>
            <w:tcW w:w="88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9.89</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100</w:t>
            </w: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21.89</w:t>
            </w:r>
          </w:p>
        </w:tc>
        <w:tc>
          <w:tcPr>
            <w:tcW w:w="71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125</w:t>
            </w: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27.47</w:t>
            </w:r>
          </w:p>
        </w:tc>
        <w:tc>
          <w:tcPr>
            <w:tcW w:w="82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185</w:t>
            </w:r>
          </w:p>
        </w:tc>
        <w:tc>
          <w:tcPr>
            <w:tcW w:w="101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40.66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2017.09</w:t>
            </w: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477</w:t>
            </w:r>
          </w:p>
        </w:tc>
        <w:tc>
          <w:tcPr>
            <w:tcW w:w="64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43</w:t>
            </w:r>
          </w:p>
        </w:tc>
        <w:tc>
          <w:tcPr>
            <w:tcW w:w="88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9.01</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114</w:t>
            </w: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23.90</w:t>
            </w:r>
          </w:p>
        </w:tc>
        <w:tc>
          <w:tcPr>
            <w:tcW w:w="71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118</w:t>
            </w: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24.74</w:t>
            </w:r>
          </w:p>
        </w:tc>
        <w:tc>
          <w:tcPr>
            <w:tcW w:w="82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202</w:t>
            </w:r>
          </w:p>
        </w:tc>
        <w:tc>
          <w:tcPr>
            <w:tcW w:w="101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42.35</w:t>
            </w:r>
          </w:p>
        </w:tc>
      </w:tr>
    </w:tbl>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000000"/>
          <w:sz w:val="24"/>
          <w:szCs w:val="24"/>
          <w:shd w:val="clear" w:fill="FFFFFF"/>
        </w:rPr>
        <w:t>2.1.2.</w:t>
      </w:r>
      <w:r>
        <w:rPr>
          <w:rFonts w:hint="eastAsia" w:ascii="黑体" w:hAnsi="宋体" w:eastAsia="黑体" w:cs="黑体"/>
          <w:color w:val="000000"/>
          <w:sz w:val="24"/>
          <w:szCs w:val="24"/>
          <w:shd w:val="clear" w:fill="FFFFFF"/>
        </w:rPr>
        <w:t>学历结构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2016-2017学年专任教师队伍中，具有硕士以上（含硕士）学位的教师</w:t>
      </w:r>
      <w:r>
        <w:rPr>
          <w:rFonts w:hint="default" w:ascii="Times New Roman" w:hAnsi="Times New Roman" w:eastAsia="微软雅黑" w:cs="Times New Roman"/>
          <w:color w:val="FF0000"/>
          <w:sz w:val="24"/>
          <w:szCs w:val="24"/>
          <w:u w:val="single"/>
          <w:shd w:val="clear" w:fill="FFFFFF"/>
        </w:rPr>
        <w:t>      </w:t>
      </w:r>
      <w:r>
        <w:rPr>
          <w:rFonts w:hint="default" w:ascii="Times New Roman" w:hAnsi="Times New Roman" w:eastAsia="微软雅黑" w:cs="Times New Roman"/>
          <w:color w:val="676767"/>
          <w:sz w:val="24"/>
          <w:szCs w:val="24"/>
          <w:shd w:val="clear" w:fill="FFFFFF"/>
        </w:rPr>
        <w:t>250人，占教师总数的54.95%。</w:t>
      </w:r>
    </w:p>
    <w:p>
      <w:pPr>
        <w:pStyle w:val="2"/>
        <w:keepNext w:val="0"/>
        <w:keepLines w:val="0"/>
        <w:widowControl/>
        <w:suppressLineNumbers w:val="0"/>
        <w:wordWrap/>
        <w:spacing w:before="182" w:beforeAutospacing="0" w:after="76" w:afterAutospacing="0" w:line="27" w:lineRule="atLeast"/>
        <w:ind w:left="76" w:right="76"/>
        <w:jc w:val="center"/>
      </w:pPr>
      <w:r>
        <w:rPr>
          <w:rFonts w:hint="default" w:ascii="Times New Roman" w:hAnsi="Times New Roman" w:eastAsia="微软雅黑" w:cs="Times New Roman"/>
          <w:b/>
          <w:bCs/>
          <w:color w:val="000000"/>
          <w:sz w:val="19"/>
          <w:szCs w:val="19"/>
          <w:shd w:val="clear" w:fill="FFFFFF"/>
        </w:rPr>
        <w:t>表4 专任教师学历结构状况表</w:t>
      </w:r>
    </w:p>
    <w:p>
      <w:pPr>
        <w:pStyle w:val="2"/>
        <w:keepNext w:val="0"/>
        <w:keepLines w:val="0"/>
        <w:widowControl/>
        <w:suppressLineNumbers w:val="0"/>
        <w:wordWrap/>
        <w:spacing w:before="182" w:beforeAutospacing="0" w:after="76" w:afterAutospacing="0" w:line="27" w:lineRule="atLeast"/>
        <w:ind w:left="76" w:right="76"/>
        <w:jc w:val="left"/>
      </w:pPr>
    </w:p>
    <w:tbl>
      <w:tblPr>
        <w:tblW w:w="0" w:type="auto"/>
        <w:tblInd w:w="76"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809"/>
        <w:gridCol w:w="835"/>
        <w:gridCol w:w="1057"/>
        <w:gridCol w:w="1146"/>
        <w:gridCol w:w="1113"/>
        <w:gridCol w:w="1228"/>
        <w:gridCol w:w="1113"/>
        <w:gridCol w:w="1229"/>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时间</w:t>
            </w:r>
          </w:p>
        </w:tc>
        <w:tc>
          <w:tcPr>
            <w:tcW w:w="136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教师数</w:t>
            </w:r>
          </w:p>
        </w:tc>
        <w:tc>
          <w:tcPr>
            <w:tcW w:w="192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博士</w:t>
            </w:r>
          </w:p>
        </w:tc>
        <w:tc>
          <w:tcPr>
            <w:tcW w:w="186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硕士</w:t>
            </w:r>
          </w:p>
        </w:tc>
        <w:tc>
          <w:tcPr>
            <w:tcW w:w="207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学士及以下</w:t>
            </w:r>
          </w:p>
        </w:tc>
        <w:tc>
          <w:tcPr>
            <w:tcW w:w="207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07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207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36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95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9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c>
          <w:tcPr>
            <w:tcW w:w="94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91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c>
          <w:tcPr>
            <w:tcW w:w="100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人数</w:t>
            </w:r>
          </w:p>
        </w:tc>
        <w:tc>
          <w:tcPr>
            <w:tcW w:w="106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2016.09</w:t>
            </w:r>
          </w:p>
        </w:tc>
        <w:tc>
          <w:tcPr>
            <w:tcW w:w="136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455</w:t>
            </w:r>
          </w:p>
        </w:tc>
        <w:tc>
          <w:tcPr>
            <w:tcW w:w="95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3</w:t>
            </w:r>
          </w:p>
        </w:tc>
        <w:tc>
          <w:tcPr>
            <w:tcW w:w="9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0.7</w:t>
            </w:r>
          </w:p>
        </w:tc>
        <w:tc>
          <w:tcPr>
            <w:tcW w:w="94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247</w:t>
            </w:r>
          </w:p>
        </w:tc>
        <w:tc>
          <w:tcPr>
            <w:tcW w:w="91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54.29</w:t>
            </w:r>
          </w:p>
        </w:tc>
        <w:tc>
          <w:tcPr>
            <w:tcW w:w="100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205</w:t>
            </w:r>
          </w:p>
        </w:tc>
        <w:tc>
          <w:tcPr>
            <w:tcW w:w="106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45.05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2017.09</w:t>
            </w:r>
          </w:p>
        </w:tc>
        <w:tc>
          <w:tcPr>
            <w:tcW w:w="136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477</w:t>
            </w:r>
          </w:p>
        </w:tc>
        <w:tc>
          <w:tcPr>
            <w:tcW w:w="95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w:t>
            </w:r>
          </w:p>
        </w:tc>
        <w:tc>
          <w:tcPr>
            <w:tcW w:w="97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0.42</w:t>
            </w:r>
          </w:p>
        </w:tc>
        <w:tc>
          <w:tcPr>
            <w:tcW w:w="94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284</w:t>
            </w:r>
          </w:p>
        </w:tc>
        <w:tc>
          <w:tcPr>
            <w:tcW w:w="91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59.54</w:t>
            </w:r>
          </w:p>
        </w:tc>
        <w:tc>
          <w:tcPr>
            <w:tcW w:w="100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191</w:t>
            </w:r>
          </w:p>
        </w:tc>
        <w:tc>
          <w:tcPr>
            <w:tcW w:w="1062"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40.04</w:t>
            </w:r>
          </w:p>
        </w:tc>
      </w:tr>
    </w:tbl>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000000"/>
          <w:sz w:val="24"/>
          <w:szCs w:val="24"/>
          <w:shd w:val="clear" w:fill="FFFFFF"/>
        </w:rPr>
        <w:t>2.1.3.</w:t>
      </w:r>
      <w:r>
        <w:rPr>
          <w:rFonts w:hint="eastAsia" w:ascii="黑体" w:hAnsi="宋体" w:eastAsia="黑体" w:cs="黑体"/>
          <w:color w:val="000000"/>
          <w:sz w:val="24"/>
          <w:szCs w:val="24"/>
          <w:shd w:val="clear" w:fill="FFFFFF"/>
        </w:rPr>
        <w:t>年龄结构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专任教师队伍中，35岁以下青年教师193人，占教师总数的42.42%；35-44岁教师有110人，占教师总数的24.18%；45岁（含45岁）以下中青年教师303人，占教师总数的66.60%；45-59岁教师有105人，占教师总数的23.08%。中青年教师已成为学校教学、科研和学科建设的主要力量。</w:t>
      </w:r>
    </w:p>
    <w:p>
      <w:pPr>
        <w:pStyle w:val="2"/>
        <w:keepNext w:val="0"/>
        <w:keepLines w:val="0"/>
        <w:widowControl/>
        <w:suppressLineNumbers w:val="0"/>
        <w:wordWrap/>
        <w:spacing w:before="182" w:beforeAutospacing="0" w:after="76" w:afterAutospacing="0" w:line="27" w:lineRule="atLeast"/>
        <w:ind w:left="76" w:right="76"/>
        <w:jc w:val="center"/>
      </w:pPr>
      <w:r>
        <w:rPr>
          <w:rFonts w:hint="default" w:ascii="Times New Roman" w:hAnsi="Times New Roman" w:eastAsia="微软雅黑" w:cs="Times New Roman"/>
          <w:b/>
          <w:bCs/>
          <w:color w:val="000000"/>
          <w:sz w:val="19"/>
          <w:szCs w:val="19"/>
          <w:shd w:val="clear" w:fill="FFFFFF"/>
        </w:rPr>
        <w:t>表5 专任教师年龄结构状况表</w:t>
      </w:r>
    </w:p>
    <w:p>
      <w:pPr>
        <w:pStyle w:val="2"/>
        <w:keepNext w:val="0"/>
        <w:keepLines w:val="0"/>
        <w:widowControl/>
        <w:suppressLineNumbers w:val="0"/>
        <w:wordWrap/>
        <w:spacing w:before="182" w:beforeAutospacing="0" w:after="76" w:afterAutospacing="0" w:line="27" w:lineRule="atLeast"/>
        <w:ind w:left="76" w:right="76"/>
        <w:jc w:val="left"/>
      </w:pPr>
    </w:p>
    <w:tbl>
      <w:tblPr>
        <w:tblW w:w="0" w:type="auto"/>
        <w:tblInd w:w="76"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651"/>
        <w:gridCol w:w="640"/>
        <w:gridCol w:w="846"/>
        <w:gridCol w:w="921"/>
        <w:gridCol w:w="814"/>
        <w:gridCol w:w="958"/>
        <w:gridCol w:w="892"/>
        <w:gridCol w:w="958"/>
        <w:gridCol w:w="892"/>
        <w:gridCol w:w="958"/>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时间</w:t>
            </w: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教师数</w:t>
            </w:r>
          </w:p>
        </w:tc>
        <w:tc>
          <w:tcPr>
            <w:tcW w:w="162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35岁以下</w:t>
            </w:r>
          </w:p>
        </w:tc>
        <w:tc>
          <w:tcPr>
            <w:tcW w:w="165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35-44岁</w:t>
            </w:r>
          </w:p>
        </w:tc>
        <w:tc>
          <w:tcPr>
            <w:tcW w:w="151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45-59岁</w:t>
            </w:r>
          </w:p>
        </w:tc>
        <w:tc>
          <w:tcPr>
            <w:tcW w:w="17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b/>
                <w:bCs/>
                <w:color w:val="000000"/>
                <w:kern w:val="0"/>
                <w:sz w:val="19"/>
                <w:szCs w:val="19"/>
                <w:bdr w:val="none" w:color="auto" w:sz="0" w:space="0"/>
                <w:lang w:val="en-US" w:eastAsia="zh-CN" w:bidi="ar"/>
              </w:rPr>
              <w:t>60岁以上</w:t>
            </w:r>
          </w:p>
        </w:tc>
        <w:tc>
          <w:tcPr>
            <w:tcW w:w="17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7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7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17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wordWrap w:val="0"/>
              <w:jc w:val="center"/>
              <w:textAlignment w:val="center"/>
            </w:pPr>
          </w:p>
        </w:tc>
        <w:tc>
          <w:tcPr>
            <w:tcW w:w="7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人数</w:t>
            </w:r>
          </w:p>
        </w:tc>
        <w:tc>
          <w:tcPr>
            <w:tcW w:w="90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比例%</w:t>
            </w:r>
          </w:p>
        </w:tc>
        <w:tc>
          <w:tcPr>
            <w:tcW w:w="7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人数</w:t>
            </w:r>
          </w:p>
        </w:tc>
        <w:tc>
          <w:tcPr>
            <w:tcW w:w="91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比例%</w:t>
            </w:r>
          </w:p>
        </w:tc>
        <w:tc>
          <w:tcPr>
            <w:tcW w:w="64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人数</w:t>
            </w:r>
          </w:p>
        </w:tc>
        <w:tc>
          <w:tcPr>
            <w:tcW w:w="87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比例%</w:t>
            </w:r>
          </w:p>
        </w:tc>
        <w:tc>
          <w:tcPr>
            <w:tcW w:w="7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人数</w:t>
            </w: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eastAsia" w:ascii="宋体" w:hAnsi="宋体" w:eastAsia="宋体" w:cs="宋体"/>
                <w:b/>
                <w:bCs/>
                <w:color w:val="00000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2016.09</w:t>
            </w: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455</w:t>
            </w:r>
          </w:p>
        </w:tc>
        <w:tc>
          <w:tcPr>
            <w:tcW w:w="7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193</w:t>
            </w:r>
          </w:p>
        </w:tc>
        <w:tc>
          <w:tcPr>
            <w:tcW w:w="90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42.42</w:t>
            </w:r>
          </w:p>
        </w:tc>
        <w:tc>
          <w:tcPr>
            <w:tcW w:w="7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105</w:t>
            </w:r>
          </w:p>
        </w:tc>
        <w:tc>
          <w:tcPr>
            <w:tcW w:w="91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23.08</w:t>
            </w:r>
          </w:p>
        </w:tc>
        <w:tc>
          <w:tcPr>
            <w:tcW w:w="64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110</w:t>
            </w:r>
          </w:p>
        </w:tc>
        <w:tc>
          <w:tcPr>
            <w:tcW w:w="87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24.18</w:t>
            </w:r>
          </w:p>
        </w:tc>
        <w:tc>
          <w:tcPr>
            <w:tcW w:w="7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47</w:t>
            </w: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color w:val="000000"/>
                <w:kern w:val="0"/>
                <w:sz w:val="19"/>
                <w:szCs w:val="19"/>
                <w:bdr w:val="none" w:color="auto" w:sz="0" w:space="0"/>
                <w:lang w:val="en-US" w:eastAsia="zh-CN" w:bidi="ar"/>
              </w:rPr>
              <w:t>10.33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2017.09</w:t>
            </w:r>
          </w:p>
        </w:tc>
        <w:tc>
          <w:tcPr>
            <w:tcW w:w="96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477</w:t>
            </w:r>
          </w:p>
        </w:tc>
        <w:tc>
          <w:tcPr>
            <w:tcW w:w="717"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220</w:t>
            </w:r>
          </w:p>
        </w:tc>
        <w:tc>
          <w:tcPr>
            <w:tcW w:w="904"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46.12</w:t>
            </w:r>
          </w:p>
        </w:tc>
        <w:tc>
          <w:tcPr>
            <w:tcW w:w="7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105</w:t>
            </w:r>
          </w:p>
        </w:tc>
        <w:tc>
          <w:tcPr>
            <w:tcW w:w="919"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22.01</w:t>
            </w:r>
          </w:p>
        </w:tc>
        <w:tc>
          <w:tcPr>
            <w:tcW w:w="646"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100</w:t>
            </w:r>
          </w:p>
        </w:tc>
        <w:tc>
          <w:tcPr>
            <w:tcW w:w="873"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20.96</w:t>
            </w:r>
          </w:p>
        </w:tc>
        <w:tc>
          <w:tcPr>
            <w:tcW w:w="73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52</w:t>
            </w: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pPr>
            <w:r>
              <w:rPr>
                <w:rFonts w:hint="default" w:ascii="Times New Roman" w:hAnsi="Times New Roman" w:eastAsia="宋体" w:cs="Times New Roman"/>
                <w:kern w:val="0"/>
                <w:sz w:val="19"/>
                <w:szCs w:val="19"/>
                <w:bdr w:val="none" w:color="auto" w:sz="0" w:space="0"/>
                <w:lang w:val="en-US" w:eastAsia="zh-CN" w:bidi="ar"/>
              </w:rPr>
              <w:t>10.90</w:t>
            </w:r>
          </w:p>
        </w:tc>
      </w:tr>
    </w:tbl>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000000"/>
          <w:sz w:val="24"/>
          <w:szCs w:val="24"/>
          <w:shd w:val="clear" w:fill="FFFFFF"/>
        </w:rPr>
        <w:t>2.1.4.</w:t>
      </w:r>
      <w:r>
        <w:rPr>
          <w:rFonts w:hint="eastAsia" w:ascii="黑体" w:hAnsi="宋体" w:eastAsia="黑体" w:cs="黑体"/>
          <w:color w:val="000000"/>
          <w:sz w:val="24"/>
          <w:szCs w:val="24"/>
          <w:shd w:val="clear" w:fill="FFFFFF"/>
        </w:rPr>
        <w:t>教辅人员结构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学校教学辅助人员有11人，其中实验技术人员11人，占教辅人员总数的100%。具有高级职称的实验技术人员有1人，占实验技术人员总数的9.10%。</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2.2</w:t>
      </w:r>
      <w:r>
        <w:rPr>
          <w:rFonts w:hint="eastAsia" w:ascii="黑体" w:hAnsi="宋体" w:eastAsia="黑体" w:cs="黑体"/>
          <w:color w:val="676767"/>
          <w:sz w:val="28"/>
          <w:szCs w:val="28"/>
          <w:shd w:val="clear" w:fill="FFFFFF"/>
        </w:rPr>
        <w:t>本科生主讲教师情况</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学校本科生主讲教师中，讲师及具有硕士学历的教师占所有教师的93.50%以上。</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2.3</w:t>
      </w:r>
      <w:r>
        <w:rPr>
          <w:rFonts w:hint="eastAsia" w:ascii="黑体" w:hAnsi="宋体" w:eastAsia="黑体" w:cs="黑体"/>
          <w:color w:val="676767"/>
          <w:sz w:val="28"/>
          <w:szCs w:val="28"/>
          <w:shd w:val="clear" w:fill="FFFFFF"/>
        </w:rPr>
        <w:t>教授承担本科课程情况</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为了提高教育教学质量，</w:t>
      </w:r>
      <w:r>
        <w:rPr>
          <w:rFonts w:hint="eastAsia" w:ascii="宋体" w:hAnsi="宋体" w:eastAsia="宋体" w:cs="宋体"/>
          <w:color w:val="676767"/>
          <w:sz w:val="24"/>
          <w:szCs w:val="24"/>
          <w:shd w:val="clear" w:fill="FFFFFF"/>
        </w:rPr>
        <w:t>我校要求各二级学院以及基础教学部在课程安排上，应根据人才培养方案的开课情况，给我校所有副高以上职称的专任教师安排本科生的课程，落实教授进课堂的制度和要求。主讲本科课程的教授占教授总数的42.76%。</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2.4</w:t>
      </w:r>
      <w:r>
        <w:rPr>
          <w:rFonts w:hint="eastAsia" w:ascii="黑体" w:hAnsi="宋体" w:eastAsia="黑体" w:cs="黑体"/>
          <w:color w:val="676767"/>
          <w:sz w:val="28"/>
          <w:szCs w:val="28"/>
          <w:shd w:val="clear" w:fill="FFFFFF"/>
        </w:rPr>
        <w:t>教师队伍建设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高度重视教师队伍建设。通过培养、引进、外聘高层次人才等途径，以学科、专业团队建设为核心，为学校重点和特色专业、特色学科、重点实验室的建设提供智力支持，为学校的教育教学等增添新鲜血液，建立了一支优秀的师资队伍，为实现我校成为特色鲜明、质量过硬的省内一流院校的发展目标创造了积极的条件。  </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坚持教育改革发展方向，主动融入区域经济和社会发展，以体制机制创新为突破口，以内涵发展为主题，以亮化特色为重点，以队伍建设为关键，以人才培养为根本，大力推进合作办学、合作育人、合作就业、合作发展，提高人才培养质量，提升社会服务能力。全校教师树立本科意识，加强内涵建设，努力实现由粗耕到细作的品牌战略转型发展、跨越发展。</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000000"/>
          <w:sz w:val="24"/>
          <w:szCs w:val="24"/>
          <w:shd w:val="clear" w:fill="FFFFFF"/>
        </w:rPr>
        <w:t>2.4.1.</w:t>
      </w:r>
      <w:r>
        <w:rPr>
          <w:rFonts w:hint="eastAsia" w:ascii="黑体" w:hAnsi="宋体" w:eastAsia="黑体" w:cs="黑体"/>
          <w:color w:val="000000"/>
          <w:sz w:val="24"/>
          <w:szCs w:val="24"/>
          <w:shd w:val="clear" w:fill="FFFFFF"/>
        </w:rPr>
        <w:t>注重结构优化</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发展更加注重结构优化与队伍建设，着力完善学科结构、专业结构、师资结构、办学结构、管理结构等，通过狠抓队伍建设增强学校的发展后劲。继续加强师资队伍建设；从行业、企业引进具有实践教学经验的教师充实学校双师型队伍建设；加大教学名师和学科带头人的培养与引进力度，使我校的师资队伍从学历、学科和年龄结构更趋合理。</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2.4.2.</w:t>
      </w:r>
      <w:r>
        <w:rPr>
          <w:rFonts w:hint="eastAsia" w:ascii="黑体" w:hAnsi="宋体" w:eastAsia="黑体" w:cs="黑体"/>
          <w:color w:val="676767"/>
          <w:sz w:val="24"/>
          <w:szCs w:val="24"/>
          <w:shd w:val="clear" w:fill="FFFFFF"/>
        </w:rPr>
        <w:t>多渠道全方位加大人才引进力度</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按照外部吸引、内部挖潜、强化培训、优胜劣汰的工作宗旨，学校充实了教学管理干部队伍，先后选拔了百余名研究生充实到教师、辅导员队伍中，使教师队伍得到快速壮大。学校高度重视在岗教师的培训，广开示范教学课，争取多措并举的传帮带，快速提升了教师的业务水平。</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在十三五期间，学校将继续改革教师聘任制度和评价办法，现已获得高级职称评审权，进一步增强了教师锐意奋进的主动性、积极性，将人才留在学校。</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2.4.3.</w:t>
      </w:r>
      <w:r>
        <w:rPr>
          <w:rFonts w:hint="eastAsia" w:ascii="黑体" w:hAnsi="宋体" w:eastAsia="黑体" w:cs="黑体"/>
          <w:color w:val="676767"/>
          <w:sz w:val="24"/>
          <w:szCs w:val="24"/>
          <w:shd w:val="clear" w:fill="FFFFFF"/>
        </w:rPr>
        <w:t>加强师德建设，塑造师表风范</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2.4.4.</w:t>
      </w:r>
      <w:r>
        <w:rPr>
          <w:rFonts w:hint="eastAsia" w:ascii="黑体" w:hAnsi="宋体" w:eastAsia="黑体" w:cs="黑体"/>
          <w:color w:val="676767"/>
          <w:sz w:val="24"/>
          <w:szCs w:val="24"/>
          <w:shd w:val="clear" w:fill="FFFFFF"/>
        </w:rPr>
        <w:t>依托教研活动，优化教师素质</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发挥优秀教师的传、帮、带作用，促进青年教师业务快速成长，让老教师和新教师对成帮带关系。坚持以先进的教育理念提升教师，支持鼓励教师参加各种业务培训，利用教研组活动形式深化交流与运用，促使教师转变观念，提升业务能力，以此来推动课堂教学效益的提高。为学习他人先进经验，我校经常开展“走出去、请进来”的教研活动，组织教师深入企业调研学习、交流。</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2.4.5.</w:t>
      </w:r>
      <w:r>
        <w:rPr>
          <w:rFonts w:hint="eastAsia" w:ascii="黑体" w:hAnsi="宋体" w:eastAsia="黑体" w:cs="黑体"/>
          <w:color w:val="676767"/>
          <w:sz w:val="24"/>
          <w:szCs w:val="24"/>
          <w:shd w:val="clear" w:fill="FFFFFF"/>
        </w:rPr>
        <w:t>加强“双师双能型”教师队伍建设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加大投入，</w:t>
      </w:r>
      <w:r>
        <w:rPr>
          <w:rFonts w:hint="eastAsia" w:ascii="宋体" w:hAnsi="宋体" w:eastAsia="宋体" w:cs="宋体"/>
          <w:color w:val="676767"/>
          <w:sz w:val="24"/>
          <w:szCs w:val="24"/>
          <w:shd w:val="clear" w:fill="FFFFFF"/>
        </w:rPr>
        <w:t>注重“双师型”教师队伍建设。从教师方面，重视教师理论与实践结合，教师必须掌握生产一线流程要素，并取得相关职业资格的认证。从学生出路方面，着力培养学生创新的意识、创造的能力，最终实现创业的目标，为学生走向社会实现零距离对接。</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2.5</w:t>
      </w:r>
      <w:r>
        <w:rPr>
          <w:rFonts w:hint="eastAsia" w:ascii="黑体" w:hAnsi="宋体" w:eastAsia="黑体" w:cs="黑体"/>
          <w:color w:val="676767"/>
          <w:sz w:val="28"/>
          <w:szCs w:val="28"/>
          <w:shd w:val="clear" w:fill="FFFFFF"/>
        </w:rPr>
        <w:t>教师教学水平提高</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学校开展系统化、制度化的教师教学能力提高培训20次，共1400余人次参加。其中包括新任课教师教学研修班6期、教学与学术能力提升系列讲座5讲、学院教学发展专项培训4期、助教培训5期等；积极组织教师创新创业专项培训3次，力求提升教师的整体素质。此外，学校还2次组织校内符合条件的教师参加省人社厅开办的创业培训师提高班，对考试通过的教师颁发合格证书，合格教师可在我校担任创业培训课程教师。</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2.6</w:t>
      </w:r>
      <w:r>
        <w:rPr>
          <w:rFonts w:hint="eastAsia" w:ascii="黑体" w:hAnsi="宋体" w:eastAsia="黑体" w:cs="黑体"/>
          <w:color w:val="676767"/>
          <w:sz w:val="28"/>
          <w:szCs w:val="28"/>
          <w:shd w:val="clear" w:fill="FFFFFF"/>
        </w:rPr>
        <w:t>教师师德风范</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高度重视师德师风建设，校党委和行政部门齐抓共管，坚持落实《高等学校教师职业道德规范》、《山西应用科技学院课堂十不准》，深入开展政治理论学习，加大青年教师思想政治工作考核力度，选树先进典型，发挥模范引领作用，深入开展师德师风宣传和教育工作。鼓励引导广大教师积极投入教书育人工作，严格履行岗位职责，严谨治学，从严执教，立德树人，涌现了一批事迹突出的先进教师。</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2.7教师科学研究成果</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在严把教学质量关的同时，鼓励教师进行学术交流，不断提高教师的科学研究水平。坚持两周一次的教研活动，加强同行教学经验的交流和沟通。聘请校外专家学者与我校教师进行学术座谈，提高我校教师的科研意识。发挥职称评审对高校教师专业发展的激励机制，借高级职称评审权下放的东风，研究制定符合我校发展情况的本科职称评审办法，引导教师主动开展应用技术研究和科技推广服务。成立本科以来，学校在科研方面省级立项课题12项，校级立项课题9项。</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3.教学条件建设</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3.1基础设施</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校园占地总面积为649738.27平方米，建筑面积243816.29平方米。教学科研及辅助用房113659平方米，生均教学行政用房为12.87平方米。其中，教室面积为41351平方米，实验室、实习场所9088平方米，运动场40个，总面积达39846.2平方米。</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3.2仪器设备</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截止2017年9月30日，教学科研仪器设备总值8203.9万元，生均教学科学仪器设备值为6745元，其中2016年新增教学科研仪器设备值884.82万元，新增教学科研仪器设备所占比例为12.09%。</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3.3图书</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图书馆于2012年开始规划，历经两年基建完成，2015年投入使用。图书馆建筑面积32726㎡，功能齐全，布局合理。为开创图书馆管理、服务工作的新局面，配有现代化的藏书及服务系统设备。阅览室全部实行开架管理模式，真正实现“管、藏、查、借、阅”多元一体化服务。图书馆各办公室、图书加工中心和学生自习室设在一至四层。图书馆内还设有网络信息服务中心、多功能会议室、教师活动中心和书画展览室，可供读者进行网络资源检索查询和进行学术活动交流等活动。</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图书馆现有藏书822637册，另有电子图书312000册，配有纸质期刊230种，生均图书79.20册。藏书涵盖了政治、哲学、经济、教育、史地、文学、艺术等各个学科，根据学院的专业设置，各类专业书籍重点收藏，当年新增纸质图书49562万册，电子图书12000万册，基本满足了师生的教学、科研和阅读需要。</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3.4经费投入</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截止2016年年底，学校本科教学经费总投入4588.4万元，生均本科教学经费1.01万元。其中本科专项教学经费2233.56万元；本科教学日常运行经费1966.29万元，生均日常运行支出0.43万元；本科实验经费996.71万元，生均实验经费0.22万元。</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4.教学建设与改革</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山西应用科技学院以提高本科教学质量为核心，以教学建设为基础，以教学改革为动力，以科学规范的教学管理为保证，全面加强本科教学内涵建设。</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4.1人才培养模式改革</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为了全面贯彻落实党和国家的教育方针政策，适应经济社会发展对人才培养的要求，特别是山西区域经济发展对高素质技术技能型人才的需求，2016年学校对人才培养方案进行了修订，更加注重培养学生知识、能力、素质协调发展，促进学生职业能力和职业素养、创新意识和创新能力的提高。在人才培养方案体例的修订过程中，学校提出以社会需求为导向，提升学生能力为目标，校企合作、双主体协同育人，构建产教融合的3+0.5+0.5应用型人才培养模式。加大实践教学环节学时与学分，实践教学课时占总学时不低于30%。同时，广泛开展社会调查、了解行业企业对人才素质、知识、能力的要求的基础上，根据我省产业结构和行业特点，深化课程设置和教学改革，更加注重学生可持续发展能力的培养。</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4.2专业建设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为加强本科专业建设，学校落实本科专业建设规划，要求每个二级学院各自遴选1个条件较好的本科专业，以省级特色优势专业指标体系为标准加强建设，带动专业建设水平全面提高。</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新专业建设是我校教学内涵建设的重点任务。每年，依托学校原有专业，抓住新产业、新业态和新技术发展机遇，申报与地区经济和社会发展密切相关的新专业。在快速发展本科专业数量的同时，密切关注专业群的建设和结构优化。2016-2017学年，学校已在管理学、工学、艺术学三个学科门类领域建设了工程造价、工程管理、土木工程、风景园林、计算机科学与技术、汽车服务工程、电子商务、酒店管理、物流管理、音乐表演、播音与主持艺术、视觉传达设计12个适应山西省产业结构特点的专业。其中，电子商务、汽车服务工程、风景园林、音乐表演、播音与主持艺术5个专业是2016年新增设专业。2017年学校拟申请增设汉语言文学、电子信息工程、交通工程、审计学、舞蹈表演、广播电视编导、学前教育7个本科专业。</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000000"/>
          <w:sz w:val="24"/>
          <w:szCs w:val="24"/>
          <w:shd w:val="clear" w:fill="FFFFFF"/>
        </w:rPr>
        <w:t>未来几年，重点围绕人才培养模式、师资队伍、专业结构、课程体系、实验实践教学条件、质量监控等方面，加强各专业内涵建设，提升人才培养质量。</w:t>
      </w:r>
      <w:r>
        <w:rPr>
          <w:rFonts w:hint="default" w:ascii="Times New Roman" w:hAnsi="Times New Roman" w:eastAsia="微软雅黑" w:cs="Times New Roman"/>
          <w:color w:val="676767"/>
          <w:sz w:val="24"/>
          <w:szCs w:val="24"/>
          <w:shd w:val="clear" w:fill="FFFFFF"/>
        </w:rPr>
        <w:t>学校现已形成校级优势特色专业6个：工程造价、汽车服务工程、电子商务、酒店管理、物流管理、视觉传达设计。</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4.3课程建设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根据应用型人才培养目标和应用型本科高校的生源状况，本着因材施教的教育原则，实施以学生为中心的启发式、合作式、参与式教学，推进教学内容、方法和手段的改革。以课程建设、特别是精品资源共享课程建设为抓手，实现教学改革与教学模式的转型。精品共享资源课程建设遵循“重点建设、稳步推进”的原则推进。即遴选一批条件较好、教育面广，对应用型人才培养影响大的课程开展重点建设。原则上每个二级学院和基础教学部各遴选2门核心课程进行精品资源共享课程建设立项。</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2016-2017学年，学校共开设课程159门。其中，专业课150门，公共课9门。全学年开设课程1729门次，其中公共课565门次。30 人以下的课堂教学552门次，占课程总门次的31.93%。</w:t>
      </w:r>
    </w:p>
    <w:p>
      <w:pPr>
        <w:pStyle w:val="2"/>
        <w:keepNext w:val="0"/>
        <w:keepLines w:val="0"/>
        <w:widowControl/>
        <w:suppressLineNumbers w:val="0"/>
        <w:wordWrap/>
        <w:spacing w:before="182" w:beforeAutospacing="0" w:after="76" w:afterAutospacing="0" w:line="27" w:lineRule="atLeast"/>
        <w:ind w:left="76" w:right="76"/>
        <w:jc w:val="center"/>
      </w:pPr>
      <w:r>
        <w:rPr>
          <w:rFonts w:hint="default" w:ascii="Times New Roman" w:hAnsi="Times New Roman" w:eastAsia="微软雅黑" w:cs="Times New Roman"/>
          <w:b/>
          <w:bCs/>
          <w:color w:val="000000"/>
          <w:sz w:val="19"/>
          <w:szCs w:val="19"/>
          <w:shd w:val="clear" w:fill="FFFFFF"/>
        </w:rPr>
        <w:t>表6 课堂规模状况表</w:t>
      </w:r>
    </w:p>
    <w:p>
      <w:pPr>
        <w:pStyle w:val="2"/>
        <w:keepNext w:val="0"/>
        <w:keepLines w:val="0"/>
        <w:widowControl/>
        <w:suppressLineNumbers w:val="0"/>
        <w:wordWrap/>
        <w:spacing w:before="182" w:beforeAutospacing="0" w:after="76" w:afterAutospacing="0" w:line="27" w:lineRule="atLeast"/>
        <w:ind w:left="76" w:right="76"/>
        <w:jc w:val="left"/>
      </w:pPr>
    </w:p>
    <w:tbl>
      <w:tblPr>
        <w:tblW w:w="0" w:type="auto"/>
        <w:tblInd w:w="76"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2840"/>
        <w:gridCol w:w="2841"/>
        <w:gridCol w:w="2841"/>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tblCellMar>
            <w:top w:w="45" w:type="dxa"/>
            <w:left w:w="45" w:type="dxa"/>
            <w:bottom w:w="45" w:type="dxa"/>
            <w:right w:w="45" w:type="dxa"/>
          </w:tblCellMar>
        </w:tblPrEx>
        <w:tc>
          <w:tcPr>
            <w:tcW w:w="284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b/>
                <w:bCs/>
                <w:kern w:val="0"/>
                <w:sz w:val="19"/>
                <w:szCs w:val="19"/>
                <w:bdr w:val="none" w:color="auto" w:sz="0" w:space="0"/>
                <w:lang w:val="en-US" w:eastAsia="zh-CN" w:bidi="ar"/>
              </w:rPr>
              <w:t>课堂规模</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b/>
                <w:bCs/>
                <w:kern w:val="0"/>
                <w:sz w:val="19"/>
                <w:szCs w:val="19"/>
                <w:bdr w:val="none" w:color="auto" w:sz="0" w:space="0"/>
                <w:lang w:val="en-US" w:eastAsia="zh-CN" w:bidi="ar"/>
              </w:rPr>
              <w:t>门次</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b/>
                <w:bCs/>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84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30人及以下</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552</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31.93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84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31-60人</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1082</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62.58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840"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61-90人</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33</w:t>
            </w:r>
          </w:p>
        </w:tc>
        <w:tc>
          <w:tcPr>
            <w:tcW w:w="2841" w:type="dxa"/>
            <w:tcBorders>
              <w:top w:val="outset" w:color="000000" w:sz="6" w:space="0"/>
              <w:left w:val="outset" w:color="000000" w:sz="6" w:space="0"/>
              <w:bottom w:val="outset" w:color="000000" w:sz="6" w:space="0"/>
              <w:right w:val="outset" w:color="000000" w:sz="6" w:space="0"/>
            </w:tcBorders>
            <w:shd w:val="clear"/>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pPr>
            <w:r>
              <w:rPr>
                <w:rFonts w:hint="default" w:ascii="Times New Roman" w:hAnsi="Times New Roman" w:eastAsia="宋体" w:cs="Times New Roman"/>
                <w:kern w:val="0"/>
                <w:sz w:val="19"/>
                <w:szCs w:val="19"/>
                <w:bdr w:val="none" w:color="auto" w:sz="0" w:space="0"/>
                <w:lang w:val="en-US" w:eastAsia="zh-CN" w:bidi="ar"/>
              </w:rPr>
              <w:t>1.91</w:t>
            </w:r>
          </w:p>
        </w:tc>
      </w:tr>
    </w:tbl>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在课程建设中，全面开展教学方法改革试点，通过研讨式教学、探究式教学、自学小组、科研小组等形式，创新教学方式，鼓励学生自主学习和研究性学习。</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4.4教材建设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持续推进本科规划教材建设工作，先后出台了《山西应用科技学院教材选用、征订及管理暂行办法》、《山西应用科技学院教材征订、接收、发放流程》、《山西应用科技学院教材质量评价办法》、《山西应用科技学院教材建设、评估与管理暂行办法》规范了教材工作中的各个环节，有力地保证了优秀新版教材进课堂。近几年来，本科所用教材中国家级规划教材比例达到31.16%，省部级规划教材比例达到64.13%，省部级精品教材比例达到4.71%，有力地保障了教学活动的规范进行。同时，学校鼓励和支持教师积极参与编写应用型人才培养所亟需的各类教材，特别是实践实训类教材。</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4.5实践教学</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4.5.1.</w:t>
      </w:r>
      <w:r>
        <w:rPr>
          <w:rFonts w:hint="eastAsia" w:ascii="黑体" w:hAnsi="宋体" w:eastAsia="黑体" w:cs="黑体"/>
          <w:color w:val="676767"/>
          <w:sz w:val="24"/>
          <w:szCs w:val="24"/>
          <w:shd w:val="clear" w:fill="FFFFFF"/>
        </w:rPr>
        <w:t>实验（实训）室建设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我校共有实验实训室102个，校外实习实训基地158个。为了适应应用型技术技能型人才的培养需求，学校加大实践教学的投入，进一步扩建或完善实验室的建设工作，实验条件进一步改善。其中，网络实训室和物流实验室的实验实训条件在全省处于领先水平。在实验（实训）室完善和建设的过程中，通过管理制度创新，不断提高实验手段和仪器设备利用率，满足实验教学的需要。目前，我校已建成建工、工程、旅游、物流、艺术和财经六大实训集群基地。</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4.5.2.</w:t>
      </w:r>
      <w:r>
        <w:rPr>
          <w:rFonts w:hint="eastAsia" w:ascii="黑体" w:hAnsi="宋体" w:eastAsia="黑体" w:cs="黑体"/>
          <w:color w:val="676767"/>
          <w:sz w:val="24"/>
          <w:szCs w:val="24"/>
          <w:shd w:val="clear" w:fill="FFFFFF"/>
        </w:rPr>
        <w:t>规范实践教学管理</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修订人才培养方案，加大各专业的实践学时、学分。有些实践性强的课程单独开设实训课，培养学生实践动手能力和综合运用知识的能力。严格执行人才培养方案，列入教学计划的实验实训课程全面落实，实验开出率良好。完善实践教学环节，组织编写实习大纲，编写实习指导书、技能操作手册。</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4.5.3.</w:t>
      </w:r>
      <w:r>
        <w:rPr>
          <w:rFonts w:hint="eastAsia" w:ascii="黑体" w:hAnsi="宋体" w:eastAsia="黑体" w:cs="黑体"/>
          <w:color w:val="676767"/>
          <w:sz w:val="24"/>
          <w:szCs w:val="24"/>
          <w:shd w:val="clear" w:fill="FFFFFF"/>
        </w:rPr>
        <w:t>实践竞赛及成果</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为更好地促进我校教育教学改革，适应应用型、技术技能型人才培养的需要，激发广大学生的学习兴趣，增强学生团队意识，促进学风教风建设，提高学生的职业技能及实际操作水平，展示教学成果，学校于2016-2017学年度第一学期举办了山西应用科技学院大学生职业技能竞赛。各学院学生积极参加、认真准备、全力比赛，共有8692人参加了48个项目的竞赛，最终评出一等奖73人、二等奖99人、三等奖273人。</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2016-2017学年，学校教师带领学生积极参加国家及山西省举办的各类竞赛活动，并认真组织赛前培训，在各类赛事中与其它院校互相学习、互相切磋、共同进步。在全国数学建模比赛中，荣获一等奖1个，二等奖1个，三等奖3个，优秀奖5个；在外研社英语技能竞赛中，获省级一等奖1个，二等奖1个，三等奖5个；体育类获国家级一等奖1个，省级一等奖3个，省级三等奖1个。同时，我校袁雅倩同学在“山西省大众创业万众创新活动”赛中荣获2016年“创响山西”十大创新创业人物奖。</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4.6学生创新创业教育</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学校每学期开办 “1+1” 实验班，</w:t>
      </w:r>
      <w:r>
        <w:rPr>
          <w:rFonts w:hint="eastAsia" w:ascii="宋体" w:hAnsi="宋体" w:eastAsia="宋体" w:cs="宋体"/>
          <w:color w:val="000000"/>
          <w:sz w:val="24"/>
          <w:szCs w:val="24"/>
          <w:shd w:val="clear" w:fill="FFFFFF"/>
        </w:rPr>
        <w:t>在</w:t>
      </w:r>
      <w:r>
        <w:rPr>
          <w:rFonts w:hint="eastAsia" w:ascii="宋体" w:hAnsi="宋体" w:eastAsia="宋体" w:cs="宋体"/>
          <w:color w:val="676767"/>
          <w:sz w:val="24"/>
          <w:szCs w:val="24"/>
          <w:shd w:val="clear" w:fill="FFFFFF"/>
        </w:rPr>
        <w:t>新生中选拔百余名品学兼优、有思想、有见解、不甘平庸、创业意识强的同学，</w:t>
      </w:r>
      <w:r>
        <w:rPr>
          <w:rFonts w:hint="default" w:ascii="Times New Roman" w:hAnsi="Times New Roman" w:eastAsia="微软雅黑" w:cs="Times New Roman"/>
          <w:color w:val="676767"/>
          <w:sz w:val="24"/>
          <w:szCs w:val="24"/>
          <w:shd w:val="clear" w:fill="FFFFFF"/>
        </w:rPr>
        <w:t>旨在培养“创新、创造、创业”的拔尖创新型人才。 “1+1” 实验班秉承“六种能力”、“六个目标”的办班理念，“一专多能，活学活用”的班训，集中校内外优势教育资源，培养拔尖创新型人才，开展精英指导教育，使其成为能够直接独立地开拓事业，将知识和技术转化为社会生产力的创业者或在特定岗位上具有创新精神和技能，能够独立工作的创业型人才。</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已经成功举办了7期大学生（GYB）创业意识培训班和1期大学生（SYB）创办企业培训班。（GYB）创业意识培训授课方式新颖，热烈的互动场面，让每一位参加培训的同学不仅评价了自己的创业能力，同时也产生了创办企业的想法。（SYB）创办企业培训内容丰富，带领同学们一步步走过创办企业的每个环节。创业培训班的设立更好地激发我校毕业生的创业激情，在校期间提高其创业能力，推动学校毕业生实现更高质量的就业。另外，学校还组织学生参加职业技能竞赛，以期鼓励和加强学生的动手能力。</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4.7毕业论文（设计）</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学校2014年升为本科院校，到2018年首批本科生毕业。到目前为止无本科毕业生，故没有毕业论文（设计）。现已制定《山西应用科技学院2018届本科毕业论文（设计）工作实施方案（试行）》（</w:t>
      </w:r>
      <w:r>
        <w:rPr>
          <w:rFonts w:hint="default" w:ascii="Times New Roman" w:hAnsi="Times New Roman" w:eastAsia="微软雅黑" w:cs="Times New Roman"/>
          <w:color w:val="000000"/>
          <w:sz w:val="24"/>
          <w:szCs w:val="24"/>
          <w:shd w:val="clear" w:fill="FFFFFF"/>
        </w:rPr>
        <w:t>晋科院字〔2017〕46号</w:t>
      </w:r>
      <w:r>
        <w:rPr>
          <w:rFonts w:hint="default" w:ascii="Times New Roman" w:hAnsi="Times New Roman" w:eastAsia="微软雅黑" w:cs="Times New Roman"/>
          <w:color w:val="676767"/>
          <w:sz w:val="24"/>
          <w:szCs w:val="24"/>
          <w:shd w:val="clear" w:fill="FFFFFF"/>
        </w:rPr>
        <w:t>）、《山西应用科技学院毕业论文（设计）工作细则》（</w:t>
      </w:r>
      <w:r>
        <w:rPr>
          <w:rFonts w:hint="default" w:ascii="Times New Roman" w:hAnsi="Times New Roman" w:eastAsia="微软雅黑" w:cs="Times New Roman"/>
          <w:color w:val="000000"/>
          <w:sz w:val="24"/>
          <w:szCs w:val="24"/>
          <w:shd w:val="clear" w:fill="FFFFFF"/>
        </w:rPr>
        <w:t>晋科院字〔2017〕47号</w:t>
      </w:r>
      <w:r>
        <w:rPr>
          <w:rFonts w:hint="default" w:ascii="Times New Roman" w:hAnsi="Times New Roman" w:eastAsia="微软雅黑" w:cs="Times New Roman"/>
          <w:color w:val="676767"/>
          <w:sz w:val="24"/>
          <w:szCs w:val="24"/>
          <w:shd w:val="clear" w:fill="FFFFFF"/>
        </w:rPr>
        <w:t>）。</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5.教学质量保障体系</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5.1人才培养中心地位</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人才培养是高等学校的核心任务，提高高等教育质量，核心是提高人才培养质量。明确树立“人才培养是学校的根本使命，提高人才培养质量是学校的核心任务”的思想观念，坚持科学发展，持续开展教育教学改革，将内涵建设、提高质量的要求贯穿于各项工作之中。</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5.1.1.</w:t>
      </w:r>
      <w:r>
        <w:rPr>
          <w:rFonts w:hint="eastAsia" w:ascii="黑体" w:hAnsi="宋体" w:eastAsia="黑体" w:cs="黑体"/>
          <w:color w:val="676767"/>
          <w:sz w:val="24"/>
          <w:szCs w:val="24"/>
          <w:shd w:val="clear" w:fill="FFFFFF"/>
        </w:rPr>
        <w:t>校长办公会研究本科教学工作情况</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高度重视本科教学工作，重要教学工作都要通过校长办公会议讨论决定。教育教学改革事关学校未来发展，要把教育教学改革工作与学校综合改革和内涵式发展的目标任务紧密结合，与迎接本科学位授予评估工作紧密结合，切实提高学校人才培养质量。2016-2017 学年，学校校长办公会议研究涉及本科教学相关工作的诸多方面，如人才培养模式改革、专业建设、优势特色专业建设、教学管理体制改革、教学基础条件建设、教学经费投入等。</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5.1.2.</w:t>
      </w:r>
      <w:r>
        <w:rPr>
          <w:rFonts w:hint="eastAsia" w:ascii="黑体" w:hAnsi="宋体" w:eastAsia="黑体" w:cs="黑体"/>
          <w:color w:val="676767"/>
          <w:sz w:val="24"/>
          <w:szCs w:val="24"/>
          <w:shd w:val="clear" w:fill="FFFFFF"/>
        </w:rPr>
        <w:t>领导班子成员听课情况</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课堂教学是整个本科教学运行过程的主要环节，加强课堂教学质量监控是提高教学质量的关键。学校十分重视本科教学，校领导班子成员和教务处每学期都要深入学生课堂，检查课堂教学情况。每学期校级领导听课不少于4次，教学督导专员不少于20次。教指委根据《山西应用科技学院听评课制度》组织全校教师进行听课评教活动，认真听取教师的授课情况，了解教师的教学水平和课堂教学动态，课后根据学生课堂反映和听课情况及时与任课教师进行沟通交流，查漏补缺督促教师进行自查以提高自身业务水平。</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5.2教学质量保障体系</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学校建立健全质量监控队伍，完善质量保障制度，建立了教学质量监控、教学效果评价、专业评估、学院考核、质量报告发布制度等从宏观到微观的多层面、全方位的质量保障体系。</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5.2.1.</w:t>
      </w:r>
      <w:r>
        <w:rPr>
          <w:rFonts w:hint="eastAsia" w:ascii="黑体" w:hAnsi="宋体" w:eastAsia="黑体" w:cs="黑体"/>
          <w:color w:val="676767"/>
          <w:sz w:val="24"/>
          <w:szCs w:val="24"/>
          <w:shd w:val="clear" w:fill="FFFFFF"/>
        </w:rPr>
        <w:t>质量监控队伍建设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建立了校、院两级教学指导委员会、校院两级督导队伍和学生信息员队伍、校院系三级教学管理人员队伍，制定了明确的工作职责和工作任务。</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5.2.2.</w:t>
      </w:r>
      <w:r>
        <w:rPr>
          <w:rFonts w:hint="eastAsia" w:ascii="黑体" w:hAnsi="宋体" w:eastAsia="黑体" w:cs="黑体"/>
          <w:color w:val="676767"/>
          <w:sz w:val="24"/>
          <w:szCs w:val="24"/>
          <w:shd w:val="clear" w:fill="FFFFFF"/>
        </w:rPr>
        <w:t>质量监控制度建设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加强教学过程管理，组织开展各类教学检查。每学期开学前，组织进行教学条件准备、教学安排与落实情况的检查；开学第一周组织全校教学秩序检查；第二周组织试卷复查；期中进行期中教学检查；期末进行考试巡考；对课堂教学和实践教学的不定期听课与抽查等，实现了质量监控的常态化、规范化、制度化。</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5.2.3.</w:t>
      </w:r>
      <w:r>
        <w:rPr>
          <w:rFonts w:hint="eastAsia" w:ascii="黑体" w:hAnsi="宋体" w:eastAsia="黑体" w:cs="黑体"/>
          <w:color w:val="676767"/>
          <w:sz w:val="24"/>
          <w:szCs w:val="24"/>
          <w:shd w:val="clear" w:fill="FFFFFF"/>
        </w:rPr>
        <w:t>加强教学质量评价</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制定了课堂教学质量评价办法，每学期开展学生对任课教师的教学质量评教工作，基本达到全员评教、全覆盖。每年组织应届毕业生就学校、学院、专业三个层面的课程设置、教学条件、教学管理等各个教学环节开展了问卷调查工作。</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5.2.4.</w:t>
      </w:r>
      <w:r>
        <w:rPr>
          <w:rFonts w:hint="eastAsia" w:ascii="黑体" w:hAnsi="宋体" w:eastAsia="黑体" w:cs="黑体"/>
          <w:color w:val="676767"/>
          <w:sz w:val="24"/>
          <w:szCs w:val="24"/>
          <w:shd w:val="clear" w:fill="FFFFFF"/>
        </w:rPr>
        <w:t>探索建立教师绩效考核体系</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制定相关文件，探索在教师职称聘任中对本科教学业绩成果进行量化，从数量、质量和成果三个角度，以归一化的形式，对教师教学业绩进行全面评价，从而改变了本科教学是“软指标”、难以衡量的认识误区，真正起到教学“指挥棒”的作用，引导教师投入本科教学工作，切实提高教学质量。</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5.2.5.</w:t>
      </w:r>
      <w:r>
        <w:rPr>
          <w:rFonts w:hint="eastAsia" w:ascii="黑体" w:hAnsi="宋体" w:eastAsia="黑体" w:cs="黑体"/>
          <w:color w:val="676767"/>
          <w:sz w:val="24"/>
          <w:szCs w:val="24"/>
          <w:shd w:val="clear" w:fill="FFFFFF"/>
        </w:rPr>
        <w:t>加强学士学位初评迎评建设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2014年由高职院校升格为本科高校，2016年4月省学位办对我校学士学位授权单位和专业进行建设指导。两年期间，学校抓住学士学位授权单位和专业评审机遇，遵循“以评促建、以评促改、以评促管、评建结合、重在建设”的总体要求，进一步加强本科教学的基本建设工作，提升学校的学士学位授予水平。根据校领导指示，成立了专门自评机构，横纵双向对学校各个层面进行改革，为2018年学位授予审核工作做好准备。</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5.3本科教学基本状态分析</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根据学校教学建设目标及任务，2016-2017学年，在明确办学方向的基础上，出台多项指导性文件及政策措施，在人才培养模式改革、专业建设、课程体系建设、教材建设、实践教学、创新创业教育等方面按时保质完成目标责任书规定的任务。</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6.学生学习效果</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6.1学风建设</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6.1.1.</w:t>
      </w:r>
      <w:r>
        <w:rPr>
          <w:rFonts w:hint="eastAsia" w:ascii="黑体" w:hAnsi="宋体" w:eastAsia="黑体" w:cs="黑体"/>
          <w:color w:val="676767"/>
          <w:sz w:val="24"/>
          <w:szCs w:val="24"/>
          <w:shd w:val="clear" w:fill="FFFFFF"/>
        </w:rPr>
        <w:t>加强学生思想教育，激发学生学习动力</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一是构建思想政治教育课程体系。建设思想政治基本理论、概念、基础、纲要四门必修课。二是加强学生党员思想教育，发挥先锋带头作用，开展系列党员教育活动，将培养和弘扬社会主义核心价值观教育常态化、机制化、长效化，引导学生不断深化对国情和社情的认识，进一步增强民族自尊心、自信心和自豪感，自觉地把个人的成长和祖国的发展紧密地联系在一起。</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6.1.2.</w:t>
      </w:r>
      <w:r>
        <w:rPr>
          <w:rFonts w:hint="eastAsia" w:ascii="黑体" w:hAnsi="宋体" w:eastAsia="黑体" w:cs="黑体"/>
          <w:color w:val="676767"/>
          <w:sz w:val="24"/>
          <w:szCs w:val="24"/>
          <w:shd w:val="clear" w:fill="FFFFFF"/>
        </w:rPr>
        <w:t>发挥指导体系作用，引导学生学习投入</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发挥辅导员的作用，引导学生确立人生规划，树立正确的学习观。通过年级大会、主题班会、个别谈心等形式，开展对学生的理想信念、诚实守信等方面的教育；发挥授课教师的作用，以严谨的教风带动学生积极投入到课堂学习和科学研究，对学业预警并督促学习；发挥学生会、团委等部门的作用，开展学生诚信教育活动、发布诚信考试倡议书等。形成全员参与学风建设，全程关注学生学习状态的良好工作格局，培养有理想、爱学习、讲诚信、守纪律的优秀大学生。</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6.1.3.</w:t>
      </w:r>
      <w:r>
        <w:rPr>
          <w:rFonts w:hint="eastAsia" w:ascii="黑体" w:hAnsi="宋体" w:eastAsia="黑体" w:cs="黑体"/>
          <w:color w:val="676767"/>
          <w:sz w:val="24"/>
          <w:szCs w:val="24"/>
          <w:shd w:val="clear" w:fill="FFFFFF"/>
        </w:rPr>
        <w:t>加强教学监督检查，确保学生学习效果</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制定系列教学管理规章制度，规范课堂教学秩序。发挥质量监控队伍作用，学校、学院各级领导深入课堂听课，了解本科生教学情况，建立听课档案，并将听课意见及时反馈给管理人员和任课教师；校、督导、同行专家、教学干事等针对性检查与随机抽查相结合，实时监控教师授课情况及学生出勤情况。形成学校、学院齐抓共管，教师、学生积极互动的良好学风建设局面。</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6.1.4.</w:t>
      </w:r>
      <w:r>
        <w:rPr>
          <w:rFonts w:hint="eastAsia" w:ascii="黑体" w:hAnsi="宋体" w:eastAsia="黑体" w:cs="黑体"/>
          <w:color w:val="676767"/>
          <w:sz w:val="24"/>
          <w:szCs w:val="24"/>
          <w:shd w:val="clear" w:fill="FFFFFF"/>
        </w:rPr>
        <w:t>重视考风考纪工作，营造良好学习氛围</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每年期末考试前都在全校范围内开展考风考纪教育活动。在校内电子显示屏、教学楼门前、各二级学院楼层悬挂考风考纪标语条幅，在考试场所张贴违规违纪白报。同时，要求各二级学院在考试前组织召开考风考纪教育会，有利地保证了学生诚信考试。</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6.1.5.</w:t>
      </w:r>
      <w:r>
        <w:rPr>
          <w:rFonts w:hint="eastAsia" w:ascii="黑体" w:hAnsi="宋体" w:eastAsia="黑体" w:cs="黑体"/>
          <w:color w:val="676767"/>
          <w:sz w:val="24"/>
          <w:szCs w:val="24"/>
          <w:shd w:val="clear" w:fill="FFFFFF"/>
        </w:rPr>
        <w:t>培育优秀学生典型，突出正能量带动作用</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通过评选“百优”、“双十佳”等活动，树立典型，以个人典型为点，以团队典型为线，以全体典型为面的典型培育模式。召开十佳大学生、十佳班级、自强自立大学生标兵颁奖典礼；举办“我的未来不是梦”演讲比赛，广泛宣传先进典型和模范人物的学习经历和优秀事迹，发挥引导、示范和辐射作用。同时，为鼓励学生以更好的条件投入学习状态，我校出台《山西应用科技学院国家奖助学金评比办法》，对符合条件的学生予以参评国家奖学金、国家励志奖学金和国家助学金的资格。</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通过上述工作的展开，学风建设取得了良好效果。近三年来，学生到课率逐渐提高，学生违纪作弊情况逐年减少。</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6.2身心素质</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学校在公共体育教学中始终坚持“健康第一”的指导思想，将体育教育纳入学校全面实施的素质教育之中，力求通过体育教学和丰富多彩的体育活动，不断增强学生的身体素质，培养学生形成运动习惯。2016-2017 学年，学校开设三路长拳、太极拳、短跑、排球、跨栏等10余项特色体育项目和课程。在阳光体育活动方面，围绕“体育文化建设”主线，大力倡导、践行全民健身理念，组织了全校田径运动会、第二十一届“兴航杯”篮球赛、校乒乓球比赛、山西省足球联赛和篮球联赛。我校学生体质测试达标率为74.76%。</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心理咨询中心成立于2014年，心理咨询中心主任及理咨询老师均取得国家二级心理咨询师资格证。通过采取面对面咨询、网络咨询和电话咨询等多种形式，为学生解决心理问题。通过对新生进行心理健康测试，排查“心理安全隐患”。到目前为止，为全校1万多名学生建立了心理健康档案。学校还非常注重心理健康知识的普及和宣传工作。充分利用现代化传媒方式定期刊登心理健康知识和案例，帮助学生进一步提升身心保健意识。为了营造互助、关爱的和谐校园氛围，我校心理咨询中心每年都精心策划、积极开展“5.25大学生心理健康日”宣传活动。以学院为单位每学期开展一次心理健康教育专题讲座，邀请校外专家来校对学生、辅导员分类进行培训，并安排我校心理咨询师定期去外面培训学习。</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另外，我们以班级和学生宿舍为单位，建立了“同伴互助体系群”，各个班级配备心理委员，辅导员老师参与群维护工作，通过这样一支多向沟通的队伍深入，及时了解学生的心理困惑与危机，并及时疏导，真正实现了大学生“助人自助”教育。学校推行关爱学生成长的“5+5”工程以及“四懂、四会”教育，针对招生实际情况，入学后上五堂大课和建立五种疏导机制，提高学生综合品质，提升毕业生就业竞争力。</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6.3社团活动</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作为校党委领导团委学生会指导下的学生组织，社团联合会始终本着服务、指导、引导、管理社团发展的宗旨，秉承“服务社团，成长自我，青春社联，耀动科院”的社联精神，努力做好本职工作。从社团角度出发换位思考，在实际中探索人性化的操作模式，提升工作水平，全方位服务社团和学生。</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4"/>
          <w:szCs w:val="24"/>
          <w:shd w:val="clear" w:fill="FFFFFF"/>
        </w:rPr>
        <w:t>我校共有学生社团26个，其中体育类社团2个，占社团总数7.69%；文艺类社团11个，占社团总数42.30%；科技类社团2个，占社团总数7.69%；人文社会类社团3个，占社团总数11.54%；其他类社团8个，占社团总数30.77%。每年在11月份左右都会组织社团嘉年华暨校园文化艺术节活动，参与人数达3000人以上，较好的发挥了社团联合会的桥梁和模范作用。</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6.4学生学习满意度</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学校在期中教学检查工作中，通过问卷调查的方式进行学生学习满意度调查。2016-2017 学年第一学期，本专科学生参评覆盖面占到总人数的85%，近9000余名学生参与评价，本专科近450名教师被评价，学生对教师的满意率达91%。2016-2017 学年第二学期，近7000余名学生参与评价，420余名教师被评价，学生对教师的满意率达92%。</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6.5毕业与就业</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2014年首次进行本科生招生，到2018年首批本科毕业生将授予学位并就业。从升本开始，学校把“毕业生高质量就业”作为建设高水平应用型大学的重要指标之一，纳入学校深化改革、内涵发展总体规划。学校通过整合社会资源、实施“校企合作”、关注我省就业市场和就业趋势，在整个教学改革和教学管理过程中，加强教育引导、提升服务水平，完善原有教学体系，加强实践教学比重，为未来毕业生就业做好前期准备。</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7.特色与发展</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学校本科教学时间虽然只有三年，但从建校开始一直致力于为山西省乃至全国培养优秀应用型人才，这是学校努力创建应用型本科院校最重要的“软实力”。</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不同于综合性本科院校，学校升本之际，正值国家大力提倡高校转型发展之时。所以，从专业建设到人才培养计划，从课程设置到教学规范，学校均朝着应用技术型本科高校的目标转型发展，坚持走“产教融合、校企合作”的办学之路。2015年，我校第一时间加入了全国应用技术大学联盟，代表我省出席了以“拥抱变革、创造价值——应用技术大学的使命与挑战”为主题的驻马店论坛，会议将我校的论证材料列在合订本的第一篇。2016年，我校被批准为山西省应用型本科试点高校。2017年由我校牵头，省教育厅批准成立了山西应用型高等学校联盟与山西省人文社会重点人才培养基地----山西应用型高等教育研究中心。为了提高教学质量，学校提出了“追求应用型与学术融合，致力于专业与产业链对接”的核心办学理念，大胆实施教学改革，本着培养学生动手能力的原则进行了教学大纲的修订，率先落实国家教改方案，修订教学计划，由传统的教学模式改变为知识结构更为合理的模块教学，为培养应用复合型的职业人才起到了重要的作用。学校传承创新、创造、创业的“三创”精神和办学传统，创办“1+1”实验班，探讨创新创业拔尖人才的培养模式。</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同时，学校为了更好地服务于学生，加强学生的动手能力和实际操作能力，还组建了“双百双轨”的山西兴华教育集团，为学生就业升学开辟了直通车。集团规定了章程，明确了职责，每年定期更新校企合作目录，为学生将来走上工作岗位奠定了良好的实习基础。</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30"/>
          <w:szCs w:val="30"/>
          <w:shd w:val="clear" w:fill="FFFFFF"/>
        </w:rPr>
        <w:t>8.问题与改进方向</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本科教育是学校持续发展的重要阶段，通过三年的摸索与改革，我校本科教育质量和教学管理水平稳步提高，正逐步走向规范。</w:t>
      </w:r>
      <w:r>
        <w:rPr>
          <w:rFonts w:hint="default" w:ascii="Times New Roman" w:hAnsi="Times New Roman" w:eastAsia="微软雅黑" w:cs="Times New Roman"/>
          <w:color w:val="000000"/>
          <w:sz w:val="24"/>
          <w:szCs w:val="24"/>
          <w:shd w:val="clear" w:fill="FFFFFF"/>
        </w:rPr>
        <w:t>但我们依旧清醒的认识到，与教育部的高标准相比，我校本科教学工作在某些方面的不足和差距还是明显的，</w:t>
      </w:r>
      <w:r>
        <w:rPr>
          <w:rFonts w:hint="default" w:ascii="Times New Roman" w:hAnsi="Times New Roman" w:eastAsia="微软雅黑" w:cs="Times New Roman"/>
          <w:color w:val="676767"/>
          <w:sz w:val="24"/>
          <w:szCs w:val="24"/>
          <w:shd w:val="clear" w:fill="FFFFFF"/>
        </w:rPr>
        <w:t>和省内教学管理经验丰富的“老八所”院校相比较，我们在教育教学管理中还面临着很多困难，存在一些问题。主要体现在：</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8.1师资队伍结构需要调整，“双师型”教师队伍需要加强</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我校作为一所新的民办本科院校，青年教师占比大，急需进行结构的调整。青年教师在了解课堂教学的环节和学生学习心理特点、掌握课堂教学理论方法和手段、提升课堂教学组织和管理能力等方面均有所欠缺。针对以上问题，我校从多方面着手调整师资队伍结构，注重结构优化、多渠道全方位加大人才引进力度，加强“双师双能型”教师队伍建设。</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作为应用型试点院校，理应强化实践教学能力的建设。因此，我校在现有“双师型”教师数量的基础上，逐步加大引进比例，吸引优秀的企业技术人员和管理人员来校承担教学任务和指导教学改革和实践，进一步提高“双师型”教师的水平和质量。另外，有计划地选送专职教师到企业接受培训、挂职工作和实践锻炼。通过增加教师外出交流和调研的机会，增加教师业务知识学习和培训的机会，增加教师专业实践能力锻炼和展示的机会。</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8.2实训基地支撑较薄弱</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宋体" w:cs="Times New Roman"/>
          <w:color w:val="676767"/>
          <w:sz w:val="24"/>
          <w:szCs w:val="24"/>
          <w:shd w:val="clear" w:fill="FFFFFF"/>
        </w:rPr>
        <w:t>作为应用型本科院校，学校领导一直高度重视学校校内外实训基地的建设，能够结合专业特点制定近期或长期的建设方案和措施，并通过各种渠道积极联系和拓建新的实训基地。但主要还是依靠传统的校外实习基地，靠用人单位提供实习基地，从数量和质量以及专业对口等方面来说，有待继续开发。另外，外出实习，需要专业的指导教师结合实习内容进行跟班指导，由于民办院校经费紧张这一特殊性，在指导教师的补助和课酬给予上都有一定困难。</w:t>
      </w:r>
    </w:p>
    <w:p>
      <w:pPr>
        <w:pStyle w:val="2"/>
        <w:keepNext w:val="0"/>
        <w:keepLines w:val="0"/>
        <w:widowControl/>
        <w:suppressLineNumbers w:val="0"/>
        <w:wordWrap/>
        <w:spacing w:before="182" w:beforeAutospacing="0" w:after="76" w:afterAutospacing="0" w:line="27" w:lineRule="atLeast"/>
        <w:ind w:left="76" w:right="76"/>
        <w:jc w:val="left"/>
      </w:pPr>
      <w:r>
        <w:rPr>
          <w:rFonts w:hint="default" w:ascii="Times New Roman" w:hAnsi="Times New Roman" w:eastAsia="微软雅黑" w:cs="Times New Roman"/>
          <w:color w:val="676767"/>
          <w:sz w:val="28"/>
          <w:szCs w:val="28"/>
          <w:shd w:val="clear" w:fill="FFFFFF"/>
        </w:rPr>
        <w:t>8.3校企合作的机制需要不断完善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部分企业与学校建立校企合作关系后，缺少对输送学生的专业培训，缺乏整体规划，存在学生在企业实习内容与所学专业知识脱节现象。出现了企业为合作而合作，学生为实习而实习的情况，起不到真正锻炼学生动手能力、培养高素质应用型人才的目的。</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针对以上问题，我校仍需积极探索校企合作模式，在思想上高度重视，与企业建立长期合作体制，建立健全合作保障体系和奖惩制度。遴选一批适合民办高校长远发展的优秀企业，双方根据优势互补、产权明晰、利益共享、互惠互利的原则密切合作。</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办校资金是保障一所大学的建设与各方面运转的基础，而民办高校的办学经费仅靠学生的学费是不够的。我校现有的经费状况无法与国家扶持的公办院校相提并论。即便如此，在这种“以学养学”的财政环境下，我校仍然多方筹措基金，推进教育股份制模式，以入股融资、扩股融资等方式吸收热爱关心教育事业，愿意投资民办高等教育的实业家加盟学校，使其成为学校董事会理事。另一方面，出台教职工股东方案，让教职工成为学校股东，共享办学成果，解决民办高校教师队伍不稳定的难题。今后，我校将利用有限的资源促使教学效果达到最优，让整个学校良性循环，逐步实现学校的流畅化运行。</w:t>
      </w:r>
    </w:p>
    <w:p>
      <w:pPr>
        <w:pStyle w:val="2"/>
        <w:keepNext w:val="0"/>
        <w:keepLines w:val="0"/>
        <w:widowControl/>
        <w:suppressLineNumbers w:val="0"/>
        <w:wordWrap/>
        <w:spacing w:before="182" w:beforeAutospacing="0" w:after="76" w:afterAutospacing="0" w:line="27" w:lineRule="atLeast"/>
        <w:ind w:left="76" w:right="76" w:firstLine="480"/>
        <w:jc w:val="left"/>
      </w:pPr>
      <w:r>
        <w:rPr>
          <w:rFonts w:hint="default" w:ascii="Times New Roman" w:hAnsi="Times New Roman" w:eastAsia="微软雅黑" w:cs="Times New Roman"/>
          <w:color w:val="676767"/>
          <w:sz w:val="24"/>
          <w:szCs w:val="24"/>
          <w:shd w:val="clear" w:fill="FFFFFF"/>
        </w:rPr>
        <w:t>面向未来，山西应用科技学院将以科学发展观为指导，认真贯彻落实国家和山西省中长期教育改革和发展纲要，牢固树立人才培养在学校各项工作中的中心地位，坚持以提高质量为核心，坚持走内涵式发展道路，通过不断的机制体制创新和教育教学改革，努力提高人才培养质量；通过不断优化专业结构布局，加强学科专业、课程、教材、实践教学、教学团队等方面建设力度，建立并完善教育教学质量保障的长效机制，突出办学特色，全面提高学校本科教学水平和学校核心竞争力。</w:t>
      </w:r>
    </w:p>
    <w:p>
      <w:pPr>
        <w:pStyle w:val="2"/>
        <w:keepNext w:val="0"/>
        <w:keepLines w:val="0"/>
        <w:widowControl/>
        <w:suppressLineNumbers w:val="0"/>
        <w:wordWrap/>
        <w:spacing w:before="182" w:beforeAutospacing="0" w:after="76" w:afterAutospacing="0" w:line="27" w:lineRule="atLeast"/>
        <w:ind w:left="76" w:right="76"/>
        <w:jc w:val="right"/>
      </w:pPr>
      <w:r>
        <w:rPr>
          <w:rFonts w:hint="default" w:ascii="Times New Roman" w:hAnsi="Times New Roman" w:eastAsia="微软雅黑" w:cs="Times New Roman"/>
          <w:color w:val="000000"/>
          <w:sz w:val="24"/>
          <w:szCs w:val="24"/>
          <w:shd w:val="clear" w:fill="FFFFFF"/>
        </w:rPr>
        <w:t>                                            山西应用科技学院</w:t>
      </w:r>
    </w:p>
    <w:p>
      <w:pPr>
        <w:pStyle w:val="2"/>
        <w:keepNext w:val="0"/>
        <w:keepLines w:val="0"/>
        <w:widowControl/>
        <w:suppressLineNumbers w:val="0"/>
        <w:wordWrap/>
        <w:spacing w:before="182" w:beforeAutospacing="0" w:after="76" w:afterAutospacing="0" w:line="27" w:lineRule="atLeast"/>
        <w:ind w:left="76" w:right="76"/>
        <w:jc w:val="right"/>
      </w:pPr>
      <w:r>
        <w:rPr>
          <w:rFonts w:hint="default" w:ascii="Times New Roman" w:hAnsi="Times New Roman" w:eastAsia="微软雅黑" w:cs="Times New Roman"/>
          <w:color w:val="000000"/>
          <w:sz w:val="24"/>
          <w:szCs w:val="24"/>
          <w:shd w:val="clear" w:fill="FFFFFF"/>
        </w:rPr>
        <w:t>2017年12月19日</w:t>
      </w:r>
    </w:p>
    <w:p>
      <w:pPr>
        <w:pStyle w:val="2"/>
        <w:keepNext w:val="0"/>
        <w:keepLines w:val="0"/>
        <w:widowControl/>
        <w:suppressLineNumbers w:val="0"/>
        <w:wordWrap/>
        <w:spacing w:before="182" w:beforeAutospacing="0" w:after="76" w:afterAutospacing="0" w:line="27" w:lineRule="atLeast"/>
        <w:ind w:left="76" w:right="76"/>
        <w:jc w:val="left"/>
      </w:pPr>
    </w:p>
    <w:p>
      <w:pPr>
        <w:pStyle w:val="2"/>
        <w:keepNext w:val="0"/>
        <w:keepLines w:val="0"/>
        <w:widowControl/>
        <w:suppressLineNumbers w:val="0"/>
        <w:wordWrap/>
        <w:spacing w:before="182" w:beforeAutospacing="0" w:after="76" w:afterAutospacing="0" w:line="27" w:lineRule="atLeast"/>
        <w:ind w:left="76" w:right="76"/>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0"/>
          <w:szCs w:val="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B5A30"/>
    <w:rsid w:val="6A2B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2022-01-08T02:25:00Z</dcterms:created>
  <dc:creator>Administrator</dc:creator>
  <cp:lastModifiedBy>Administrator</cp:lastModifiedBy>
  <dcterms:modified xsi:type="dcterms:W3CDTF">2022-01-08T02:25:42Z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1CC44B45E7E14F5C9669D2B2E00466ED</vt:lpwstr>
  </property>
</Properties>
</file>