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ind w:left="0" w:right="0" w:firstLine="0"/>
        <w:jc w:val="center"/>
        <w:rPr>
          <w:rFonts w:ascii="微软雅黑" w:hAnsi="微软雅黑" w:eastAsia="微软雅黑" w:cs="微软雅黑"/>
          <w:i w:val="0"/>
          <w:iCs w:val="0"/>
          <w:caps w:val="0"/>
          <w:color w:val="676767"/>
          <w:spacing w:val="0"/>
          <w:sz w:val="21"/>
          <w:szCs w:val="21"/>
        </w:rPr>
      </w:pPr>
      <w:r>
        <w:rPr>
          <w:rFonts w:ascii="黑体" w:hAnsi="宋体" w:eastAsia="黑体" w:cs="黑体"/>
          <w:b/>
          <w:bCs/>
          <w:i w:val="0"/>
          <w:iCs w:val="0"/>
          <w:caps w:val="0"/>
          <w:color w:val="000000"/>
          <w:spacing w:val="0"/>
          <w:sz w:val="36"/>
          <w:szCs w:val="36"/>
          <w:shd w:val="clear" w:fill="FFFFFF"/>
        </w:rPr>
        <w:t>山西应用科技学院</w:t>
      </w:r>
    </w:p>
    <w:p>
      <w:pPr>
        <w:pStyle w:val="3"/>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b/>
          <w:bCs/>
          <w:i w:val="0"/>
          <w:iCs w:val="0"/>
          <w:caps w:val="0"/>
          <w:color w:val="000000"/>
          <w:spacing w:val="0"/>
          <w:sz w:val="36"/>
          <w:szCs w:val="36"/>
          <w:shd w:val="clear" w:fill="FFFFFF"/>
        </w:rPr>
        <w:t>2014-2015学年《本科教学质量年度报告》</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山西应用科技学院创办于1991年，在党和政府的关怀支持下，经过十年的艰苦创业，于2001年经山西省政府正式批准，国家教育部备案，成为山西省第一所国家承认学历的全日制民办普通高职院校。又经过十余年的跋涉探索，2014年，经国家教育部批准成为山西省首所应用技术型全日制民办普通本科院校。升本以来，在“提升管理水平，强化内涵建设，突出办学特色，提高教学质量”的指导思想指引下，我校加强制度建设，规范本科教学，提高办学水平。现将2014年本科教学的相关工作总结如下。</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30"/>
          <w:szCs w:val="30"/>
          <w:shd w:val="clear" w:fill="FFFFFF"/>
        </w:rPr>
        <w:t>一、学校基本概况</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8"/>
          <w:szCs w:val="28"/>
          <w:shd w:val="clear" w:fill="FFFFFF"/>
        </w:rPr>
        <w:t>（一）办学定位及办学特色</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4"/>
          <w:szCs w:val="24"/>
          <w:shd w:val="clear" w:fill="FFFFFF"/>
        </w:rPr>
        <w:t>1.办学指导思想</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学校坚持“以质量求生存，以特色求发展”的办学方针，以“求知、修德、强能、报国”为校训，以“追求应用型与学术融合，致力于课程与市场接轨”为核心办学理念，奉行“一切从实际出发，一切服务于学生”的办学思想，恪守“自立自强、艰苦奋斗、从严治校”的办学精神和“创新、创造、创业”的三创精神，开创“理论与实践结合，课堂与市场接轨，国内与国际联系”的立体交叉式办学新格局，培养品学兼优的高素质的具有创新能力的应用复合型高等人才。</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4"/>
          <w:szCs w:val="24"/>
          <w:shd w:val="clear" w:fill="FFFFFF"/>
        </w:rPr>
        <w:t>2.办学定位</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学校坚持应用技术型办学方向，探索应用型人才培养模式，坚定不移地走“产教融合、校企合作”之路。</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4"/>
          <w:szCs w:val="24"/>
          <w:shd w:val="clear" w:fill="FFFFFF"/>
        </w:rPr>
        <w:t>3.办学特色</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从办学方向方面，树立以市场为导向的办学思想，按社会需求设置专业、培养动手能力强的应用技能型人才。从人才培养模式方面，着力体现“产教融合、校企合作”，教学过程必须紧密联系生产一线，同企业联手培养人才。从内涵建设方面，围绕“一</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专多能、活学活用”，开办了“1+1”实验班，体现了经世致用的育人理念。从教学特点方面，实施“理实一体、学做结合”，课堂与职业岗位要求对接，以能力为本，体现“强能”的要求。从教师队伍建设方面，注重按“双师型”教师要求来建设，注重教师理论与实践结合，教师必须掌握生产一线流程要素，并取得相关职业资格的认证。从学生出路方面，着力培养学生创新的意识、创造的能力，最终实现创业的目标，为学生走向社会实现零距离对接。</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8"/>
          <w:szCs w:val="28"/>
          <w:shd w:val="clear" w:fill="FFFFFF"/>
        </w:rPr>
        <w:t>（二）院系设置、学科门类与专业设置</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我校现有5个二级学院，分别是财经学院、管理学院、工程学院、建工学院、艺术学院，另外还有承担基础教学任务的基础教学部。目前，共有7个本科专业（计算机科学与技术、土木工程、工程管理、工程造价、物流管理、酒店管理和视觉传达设计），涉及到工学、管理学、艺术学3个一级学科门类，计算机类、土木类、管理科学与工程类、物流管理与工程类、旅游管理类和设计学类6个二级学科门类。</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30"/>
          <w:szCs w:val="30"/>
          <w:shd w:val="clear" w:fill="FFFFFF"/>
        </w:rPr>
        <w:t>二、办学基本信息</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8"/>
          <w:szCs w:val="28"/>
          <w:shd w:val="clear" w:fill="FFFFFF"/>
        </w:rPr>
        <w:t>（一）经费投入</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自筹建本科以来，我校在新校区建设，资金十分紧张的情况下，每年均专门划拨一定的资金用于改善办学条件、购置实验实训设备、稳定教师队伍和增加教育教学的投入等。2014年，学校用于教学的经费总额为2950.82万元，生均教学日常运行支出为1367元。本科专项教学经费为68.13万元，生均本科实验经费为737元。教学科研仪器设备总值6368.05万元，生均教学科学仪器设备值为7328元，其中2014年新增教学科研仪器设备值631.8万元。</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8"/>
          <w:szCs w:val="28"/>
          <w:shd w:val="clear" w:fill="FFFFFF"/>
        </w:rPr>
        <w:t>（二）办学条件</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目前，我校校园占地总面积为649738平方米，建筑面积235650平方米。教学科研及辅助用房113659平方米，生均教学行政用房为15.38平方米。其中，教室面积为41351平方米，实验室、实习场所9088平方米，生均实验室面积为1.17平方米。多媒体教室77个。体育运动场地5个，总面积达17176万平方米。分布广泛、相对稳定的校外实习基地46个。</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学校图书馆馆舍面积达32726平方米，有各类阅览室3个，阅览座位1944席。馆内藏书丰富，种类齐全，纸质图书721200册，纸质期刊390册，电子图书310895种，电子期刊366种，生均图书83册。</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8"/>
          <w:szCs w:val="28"/>
          <w:shd w:val="clear" w:fill="FFFFFF"/>
        </w:rPr>
        <w:t>（三）师资队伍</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我校自筹备升本，到升本成功以来，为了提高教育教学质量，积极引进高层次、高学历人才，大力进行师资队伍建设。人事处加大招聘、选拔力度，规范招聘、试讲与面试的流程，从211高校，甚至985院校毕业的研究生中选拔优秀的人才充实到我校的教师队伍中，确保本科教学工作的正常开展。为了形成合理的教学队伍梯队、改善教师队伍的学历、职称、年龄、学缘结构，同时也为了推动各学科建设和专业的发展，我们还积极引进多名有丰富教学和管理经验的学科和专业带头人。目前，学校有专任教师398人，外聘教师96人。生师比为19.5。其中，学历结构上，具有研究生学历的180余人，约占总人数的45.11%。职称结构上，具有高级职称的141人，占人数的35.42%。</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8"/>
          <w:szCs w:val="28"/>
          <w:shd w:val="clear" w:fill="FFFFFF"/>
        </w:rPr>
        <w:t>（四）学生规模</w:t>
      </w:r>
    </w:p>
    <w:tbl>
      <w:tblPr>
        <w:tblStyle w:val="4"/>
        <w:tblpPr w:leftFromText="180" w:rightFromText="180" w:vertAnchor="text" w:horzAnchor="page" w:tblpX="144" w:tblpY="824"/>
        <w:tblOverlap w:val="never"/>
        <w:tblW w:w="16290"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45" w:type="dxa"/>
          <w:left w:w="45" w:type="dxa"/>
          <w:bottom w:w="45" w:type="dxa"/>
          <w:right w:w="45" w:type="dxa"/>
        </w:tblCellMar>
      </w:tblPr>
      <w:tblGrid>
        <w:gridCol w:w="4466"/>
        <w:gridCol w:w="5623"/>
        <w:gridCol w:w="1211"/>
        <w:gridCol w:w="2278"/>
        <w:gridCol w:w="2712"/>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44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表一：现有本科各专业学生人数一览表</w:t>
            </w:r>
          </w:p>
        </w:tc>
        <w:tc>
          <w:tcPr>
            <w:tcW w:w="562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121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22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271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44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序号</w:t>
            </w:r>
          </w:p>
        </w:tc>
        <w:tc>
          <w:tcPr>
            <w:tcW w:w="562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专业名称</w:t>
            </w:r>
          </w:p>
        </w:tc>
        <w:tc>
          <w:tcPr>
            <w:tcW w:w="121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在校生数</w:t>
            </w:r>
          </w:p>
        </w:tc>
        <w:tc>
          <w:tcPr>
            <w:tcW w:w="22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271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44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562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121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2015级</w:t>
            </w:r>
          </w:p>
        </w:tc>
        <w:tc>
          <w:tcPr>
            <w:tcW w:w="22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2014级</w:t>
            </w:r>
          </w:p>
        </w:tc>
        <w:tc>
          <w:tcPr>
            <w:tcW w:w="271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合计</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44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562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普通本科</w:t>
            </w:r>
          </w:p>
        </w:tc>
        <w:tc>
          <w:tcPr>
            <w:tcW w:w="121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1548</w:t>
            </w:r>
          </w:p>
        </w:tc>
        <w:tc>
          <w:tcPr>
            <w:tcW w:w="22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947</w:t>
            </w:r>
          </w:p>
        </w:tc>
        <w:tc>
          <w:tcPr>
            <w:tcW w:w="271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2495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44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w:t>
            </w:r>
          </w:p>
        </w:tc>
        <w:tc>
          <w:tcPr>
            <w:tcW w:w="562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物流管理</w:t>
            </w:r>
          </w:p>
        </w:tc>
        <w:tc>
          <w:tcPr>
            <w:tcW w:w="121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189</w:t>
            </w:r>
          </w:p>
        </w:tc>
        <w:tc>
          <w:tcPr>
            <w:tcW w:w="22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215</w:t>
            </w:r>
          </w:p>
        </w:tc>
        <w:tc>
          <w:tcPr>
            <w:tcW w:w="271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404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44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2</w:t>
            </w:r>
          </w:p>
        </w:tc>
        <w:tc>
          <w:tcPr>
            <w:tcW w:w="562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酒店管理</w:t>
            </w:r>
          </w:p>
        </w:tc>
        <w:tc>
          <w:tcPr>
            <w:tcW w:w="121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77</w:t>
            </w:r>
          </w:p>
        </w:tc>
        <w:tc>
          <w:tcPr>
            <w:tcW w:w="22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86</w:t>
            </w:r>
          </w:p>
        </w:tc>
        <w:tc>
          <w:tcPr>
            <w:tcW w:w="271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163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44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3</w:t>
            </w:r>
          </w:p>
        </w:tc>
        <w:tc>
          <w:tcPr>
            <w:tcW w:w="562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工程管理</w:t>
            </w:r>
          </w:p>
        </w:tc>
        <w:tc>
          <w:tcPr>
            <w:tcW w:w="121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197</w:t>
            </w:r>
          </w:p>
        </w:tc>
        <w:tc>
          <w:tcPr>
            <w:tcW w:w="22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338</w:t>
            </w:r>
          </w:p>
        </w:tc>
        <w:tc>
          <w:tcPr>
            <w:tcW w:w="271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535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44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4</w:t>
            </w:r>
          </w:p>
        </w:tc>
        <w:tc>
          <w:tcPr>
            <w:tcW w:w="562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土木工程</w:t>
            </w:r>
          </w:p>
        </w:tc>
        <w:tc>
          <w:tcPr>
            <w:tcW w:w="121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264</w:t>
            </w:r>
          </w:p>
        </w:tc>
        <w:tc>
          <w:tcPr>
            <w:tcW w:w="22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218</w:t>
            </w:r>
          </w:p>
        </w:tc>
        <w:tc>
          <w:tcPr>
            <w:tcW w:w="271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482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44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5</w:t>
            </w:r>
          </w:p>
        </w:tc>
        <w:tc>
          <w:tcPr>
            <w:tcW w:w="562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计算机科学与技术</w:t>
            </w:r>
          </w:p>
        </w:tc>
        <w:tc>
          <w:tcPr>
            <w:tcW w:w="121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143</w:t>
            </w:r>
          </w:p>
        </w:tc>
        <w:tc>
          <w:tcPr>
            <w:tcW w:w="22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90</w:t>
            </w:r>
          </w:p>
        </w:tc>
        <w:tc>
          <w:tcPr>
            <w:tcW w:w="271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233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44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6</w:t>
            </w:r>
          </w:p>
        </w:tc>
        <w:tc>
          <w:tcPr>
            <w:tcW w:w="562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工程造价</w:t>
            </w:r>
          </w:p>
        </w:tc>
        <w:tc>
          <w:tcPr>
            <w:tcW w:w="121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343</w:t>
            </w:r>
          </w:p>
        </w:tc>
        <w:tc>
          <w:tcPr>
            <w:tcW w:w="22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271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343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44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7</w:t>
            </w:r>
          </w:p>
        </w:tc>
        <w:tc>
          <w:tcPr>
            <w:tcW w:w="562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视觉传达设计</w:t>
            </w:r>
          </w:p>
        </w:tc>
        <w:tc>
          <w:tcPr>
            <w:tcW w:w="121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335</w:t>
            </w:r>
          </w:p>
        </w:tc>
        <w:tc>
          <w:tcPr>
            <w:tcW w:w="227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271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335</w:t>
            </w:r>
          </w:p>
        </w:tc>
      </w:tr>
    </w:tbl>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bookmarkStart w:id="0" w:name="_GoBack"/>
      <w:r>
        <w:rPr>
          <w:rFonts w:hint="eastAsia" w:ascii="微软雅黑" w:hAnsi="微软雅黑" w:eastAsia="微软雅黑" w:cs="微软雅黑"/>
          <w:i w:val="0"/>
          <w:iCs w:val="0"/>
          <w:caps w:val="0"/>
          <w:color w:val="000000"/>
          <w:spacing w:val="0"/>
          <w:sz w:val="24"/>
          <w:szCs w:val="24"/>
          <w:shd w:val="clear" w:fill="FFFFFF"/>
        </w:rPr>
        <w:t>　　学校现有在校生8690人，其中专科生6195人，占全日制在校生总数的</w:t>
      </w:r>
      <w:bookmarkEnd w:id="0"/>
      <w:r>
        <w:rPr>
          <w:rFonts w:hint="eastAsia" w:ascii="微软雅黑" w:hAnsi="微软雅黑" w:eastAsia="微软雅黑" w:cs="微软雅黑"/>
          <w:i w:val="0"/>
          <w:iCs w:val="0"/>
          <w:caps w:val="0"/>
          <w:color w:val="000000"/>
          <w:spacing w:val="0"/>
          <w:sz w:val="24"/>
          <w:szCs w:val="24"/>
          <w:shd w:val="clear" w:fill="FFFFFF"/>
        </w:rPr>
        <w:t>71.28%；本科生2495人，占全日制在校生总数的28.71%。其中2014级本科生947人，2015及本科生1548人。</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2014年，我校首次在山西省内二本C类招收本科生，生源覆盖到了全省的十一个地、市，5个本科专业的招生计划第一志愿一次性投满。同时，生源质量也取得了历史性的突破，最高分达到473分，接近二本B类的最低投档线。这对于一所新升本的高校来说，说明多年的</w:t>
      </w:r>
      <w:r>
        <w:rPr>
          <w:rFonts w:hint="eastAsia" w:ascii="宋体" w:hAnsi="宋体" w:eastAsia="宋体" w:cs="宋体"/>
          <w:i w:val="0"/>
          <w:iCs w:val="0"/>
          <w:caps w:val="0"/>
          <w:color w:val="000000"/>
          <w:spacing w:val="0"/>
          <w:sz w:val="24"/>
          <w:szCs w:val="24"/>
          <w:shd w:val="clear" w:fill="FFFFFF"/>
        </w:rPr>
        <w:t>办学水平、办学实力得到了考生、家长及社会的认可，这对提高人才培养质量、提升学校的社会影响力有着积极的意义。</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30"/>
          <w:szCs w:val="30"/>
          <w:shd w:val="clear" w:fill="FFFFFF"/>
        </w:rPr>
        <w:t>三、本科教学基本情况、举措与效果分析</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围绕“追求职业性与学术融合，致力于课程与市场接轨”的核心理念，学校坚持培养应用型、技术技能型的人才作为学校工作的根本任务，建立应用型的人才培养体系。做好新专业的论证与申报，进一步优化专业结构。修订人才培养方案，优化模块体系和课程结构。强化实践教学环节，加强实验室建设与管理。完善教学监控体系，强化教学过程管理，建立教师教学工作综合评价体系和激励机制，出台教师教学考核办法。探索创新人才培养新机制。</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8"/>
          <w:szCs w:val="28"/>
          <w:shd w:val="clear" w:fill="FFFFFF"/>
        </w:rPr>
        <w:t>（一）教师队伍状况</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4"/>
          <w:szCs w:val="24"/>
          <w:shd w:val="clear" w:fill="FFFFFF"/>
        </w:rPr>
        <w:t>1.教授、副教授上课情况</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2014-2015学年，是我校升本之后的第一届本科生进行教学活动，我校5个本科专业共计开设23门课程。为了提高教育教学质量，我校要求各学院以及基础教学部在课程安排上，应根据人才培养方案的开课情况，给我校所有副高以上职称的专任教师安排本科生的课程，落实教授进课堂的制度和要求，主讲本科课程的教授占教授总数的26.8%。</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4"/>
          <w:szCs w:val="24"/>
          <w:shd w:val="clear" w:fill="FFFFFF"/>
        </w:rPr>
        <w:t>2.师资培训</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为推进青年教师的专业成长，培养教师的教学基本功，提高教师的教育教学水平学校专门成立了“教师发展中心”这一职能处室，专门研究和领导学校教师的专业化建设工作。</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（1）重视中青年教师培训，培养高水平的骨干教师队伍。</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一般培训与重点培养相结合。坚持每年秋季邀请本科教学专家进行本科教学工作的相关讲座，传递国家最新教育政策，传达学校近期教学举措，引导教师共同发展。学校特别关注中青年教师，尤其是新入职教师的专业发展。对35岁以下的中青年专任教师分期、分批开展拉网式的培训。从备课到讲课、从教案的书写到板书的规范、从师德师风到仪表仪态、从授课技巧到课堂管理等各个环节进行系统的培训和指导，以切实提高他们的课堂教学能力和实训教学能力。2015年11月，对今年新入职的33名青年专任教师开展为期1年的培训。</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专题培训与业务学习相结合。专门举办关于课程建设、专业建设、学科建设以及教研教改的专题培训和研讨，帮助骨干教师和专业带头人开展各项工作。另外，为了提高学校整体的教学管理水平，还定期举办教学干事的业务培训活动。</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（2）以赛促教，以练促教，培养教师实践能力和双师素质</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在国家鼓励新建本科院校转型发展的时代背景下，我校作为一所刚刚由专科升本科的院校，也在积极探索应用技术型人才的培养模式。而作为培养主体的教师，其实践操作能力的高低直接影响到我校的教育教学质量。为此，学校教学指导委员会和教务处2014年5月在全体教师中组织开展针对教师专业实践能力的展示活动，这也是我校继“教师基本功大赛”“教学能力测评”等活动外，推出的又一项提高教师教育教学能力和水平的赛事。这对于推动教师的教学水平，尤其是应用能力、实践操作水平的提升，激发青年教师学习、掌握和熟练技能的热情，提高他们的专业实践能力，起到了非常大的促进和推动作用。</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积极鼓励并要求每一位专业课教师，尤其是承担实践教学任务的教师每周到相应的实训室进行实践能力的训练，熟练掌握仪器设备的操纵方法和教学的实践技能，切实提高动手操作能力。</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8"/>
          <w:szCs w:val="28"/>
          <w:shd w:val="clear" w:fill="FFFFFF"/>
        </w:rPr>
        <w:t>（二）专业与课程建设</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1.专业设置、建设</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目前我校共有7个本科专业，分别是土木工程、工程管理、计算机科学与技术、物流管理、酒店管理、工程造价和视觉传达。</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我校将立足现有资源，组建学科专业群，牢牢把握应用本科“科技服务主要面向行业企业”的方向，把“积极开展技术推广、技术服务成果转化和决策咨询，为行业、产业企业的技术应用和技术创新提供服务”作为我校学科建设的内容和目标，合理布局，科学推敲，扎实推进学校的学科建设，形成“管理学科为主干，重点建设理工学科，突出艺术学科特色（经济、文学）”的学科布局。</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在专业建设和规划方面，我校将全面落实科学发展观，主动适应山西省经济社会转型跨越发展和中小微民营企业的需要，以学校办学指导思想和发展目标定位为指导，以培养具有创新能力的应用型高素质人才为目标，以教学内容与课程体系改革为重点，以师资队伍建设为关键，加大专业建设力度，紧握学科建设这一龙头，将专业梯队建设作为核心，将现有的省特色、院重点专业建设为基础，采取有力措施，带动相关专业发展，增强社会服务能力，不断提高教育教学质量，实现创新人才培养目标，把学校建成多学科协调发展的应用型本科专业。2015年拟申请新增设汽车服务工程、风景园林、电子商务、播音与主持艺术、音乐表演5个本科专业。</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未来几年，重点围绕人才培养模式、师资队伍、专业结构、课程体系、实验实践教学条件、质量监控等方面，加强各专业内涵建设，提升人才培养质量。</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4"/>
          <w:szCs w:val="24"/>
          <w:shd w:val="clear" w:fill="FFFFFF"/>
        </w:rPr>
        <w:t>2.课堂教学</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为提高本科课堂教学质量，加强对本科教学的有效监管，掌握教师课堂教学情况，及时发现教师在教学中存在的问题，促进教师更有针对性的改进教学，并及时了解学生的教学需求，掌握学生对教师的基本看法，学校继续坚持开展对教师课堂教学质量测评工作，对所有本科教师实施了学生评教，并将测评结果、学生评价反应比较突出的问题及时反馈给任课教师和所在学院。</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4"/>
          <w:szCs w:val="24"/>
          <w:shd w:val="clear" w:fill="FFFFFF"/>
        </w:rPr>
        <w:t>3.实践教学</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4"/>
          <w:szCs w:val="24"/>
          <w:shd w:val="clear" w:fill="FFFFFF"/>
        </w:rPr>
        <w:t>  </w:t>
      </w:r>
      <w:r>
        <w:rPr>
          <w:rFonts w:hint="eastAsia" w:ascii="微软雅黑" w:hAnsi="微软雅黑" w:eastAsia="微软雅黑" w:cs="微软雅黑"/>
          <w:i w:val="0"/>
          <w:iCs w:val="0"/>
          <w:caps w:val="0"/>
          <w:color w:val="000000"/>
          <w:spacing w:val="0"/>
          <w:sz w:val="24"/>
          <w:szCs w:val="24"/>
          <w:shd w:val="clear" w:fill="FFFFFF"/>
        </w:rPr>
        <w:t>实训室建设。为了适应技术技能型人才的培养需求，学校加大实践教学的投入，进一步扩建或完善实验室的建设工作，添置和更新了大量先进的仪器设备，实验条件进一步改善。其中，网络实验室和物流实验室的实验实训条件在全省处于领先水平。同时，通过管理制度创新，不断提高实验手段和仪器设备利用率，满足实验教学的需要。</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规范实践教学管理。修订人才培养方案，加大各专业的实践学时、学分，有些实践性强的课程甚至单独开设实训课，培养学生实践动手能力和综合运用知识的能力。严格执行人才培养方案，列入教学计划的实验实训课程全面落实，实验开出率良好。完善实践教学环节，组织编写实习大纲，编写实习指导书、技能操作手册。</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8"/>
          <w:szCs w:val="28"/>
          <w:shd w:val="clear" w:fill="FFFFFF"/>
        </w:rPr>
        <w:t>（三）教学改革</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4"/>
          <w:szCs w:val="24"/>
          <w:shd w:val="clear" w:fill="FFFFFF"/>
        </w:rPr>
        <w:t>1.人才培养模式</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在分析山西区域经济发展对高素质技术技能型人才的需要的基础上，我们结合教育部对应用技术型大学人才培养的要求，坚持“以促进就业为导向”的原则，组织各教学单位对原有本科专业的人才培养方案进行了修订。在“能力本位，注重实践，应用导向，夯实基础”原则的指导下，聘请行业、企业专家、技术人员参与，进行广泛论证，使课程内容与职业标准相对接，把“产教融合、校企合作”的思想渗透到每一个专业和每一门课程中，使所培养的毕业生适销对路，形成与岗位能力紧密结合的课程体系。比如：加大了实践教学环节学时与学分，实践教学课时占总学时不低于30%，切实培养应用型、技术技能型人才。增设以知识点为核心的综合实训课时，根据课程和专业需要独立开设实验实训课程等，以加强学生实践能力的培养。</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4"/>
          <w:szCs w:val="24"/>
          <w:shd w:val="clear" w:fill="FFFFFF"/>
        </w:rPr>
        <w:t>2.教育教学研究</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坚持两周一次的教研室活动，加强同行教学经验的交流和沟通。发挥职称评审对高校教师专业发展的激励机制，借讲师评审权下放的东风，研究制定有利于我校发展的应用本科职称评审条例，引导教师主动开展应用技术研究和科技推广服务。</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（1）2014年6月创办《山西应用科技学院学报》（季刊），已出版6期。为教师开辟了发表教育教学改革研究论文的园地。</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2）积极开展本科教学课程教学内容、方法和手段改革，2014-2015学年，根据《山西省教育厅关于申报2015年山西省高等教育质量水平提升工程中三个教学改革项目的通知》（晋教高【2014】21号）和《关于组织申报2015年度山西省高等学校哲学社会科学研究项目的通知》（晋教科函【2014】21号）文件要求，共成功申报4项省级科研项目。</w:t>
      </w:r>
    </w:p>
    <w:p>
      <w:pPr>
        <w:pStyle w:val="3"/>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1"/>
          <w:szCs w:val="21"/>
          <w:shd w:val="clear" w:fill="FFFFFF"/>
        </w:rPr>
        <w:t>表二：2015年山西省教学改革项目</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tbl>
      <w:tblPr>
        <w:tblW w:w="9835"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45" w:type="dxa"/>
          <w:left w:w="45" w:type="dxa"/>
          <w:bottom w:w="45" w:type="dxa"/>
          <w:right w:w="45" w:type="dxa"/>
        </w:tblCellMar>
      </w:tblPr>
      <w:tblGrid>
        <w:gridCol w:w="510"/>
        <w:gridCol w:w="1187"/>
        <w:gridCol w:w="4023"/>
        <w:gridCol w:w="1603"/>
        <w:gridCol w:w="1510"/>
        <w:gridCol w:w="1002"/>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rPr>
          <w:trHeight w:val="748" w:hRule="atLeast"/>
        </w:trPr>
        <w:tc>
          <w:tcPr>
            <w:tcW w:w="50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序号</w:t>
            </w:r>
          </w:p>
        </w:tc>
        <w:tc>
          <w:tcPr>
            <w:tcW w:w="118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项目编号</w:t>
            </w:r>
          </w:p>
        </w:tc>
        <w:tc>
          <w:tcPr>
            <w:tcW w:w="402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项目名称</w:t>
            </w:r>
          </w:p>
        </w:tc>
        <w:tc>
          <w:tcPr>
            <w:tcW w:w="160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负责人</w:t>
            </w:r>
          </w:p>
        </w:tc>
        <w:tc>
          <w:tcPr>
            <w:tcW w:w="151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所在学院</w:t>
            </w:r>
          </w:p>
        </w:tc>
        <w:tc>
          <w:tcPr>
            <w:tcW w:w="100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项目类型</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rPr>
          <w:trHeight w:val="748" w:hRule="atLeast"/>
        </w:trPr>
        <w:tc>
          <w:tcPr>
            <w:tcW w:w="50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c>
          <w:tcPr>
            <w:tcW w:w="118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J2015137</w:t>
            </w:r>
          </w:p>
        </w:tc>
        <w:tc>
          <w:tcPr>
            <w:tcW w:w="402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公共基础课线性代数特色教材建设</w:t>
            </w:r>
          </w:p>
        </w:tc>
        <w:tc>
          <w:tcPr>
            <w:tcW w:w="160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刘耀军</w:t>
            </w:r>
          </w:p>
        </w:tc>
        <w:tc>
          <w:tcPr>
            <w:tcW w:w="151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教指委</w:t>
            </w:r>
          </w:p>
        </w:tc>
        <w:tc>
          <w:tcPr>
            <w:tcW w:w="100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一般</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rPr>
          <w:trHeight w:val="748" w:hRule="atLeast"/>
        </w:trPr>
        <w:tc>
          <w:tcPr>
            <w:tcW w:w="50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c>
          <w:tcPr>
            <w:tcW w:w="118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J2015138</w:t>
            </w:r>
          </w:p>
        </w:tc>
        <w:tc>
          <w:tcPr>
            <w:tcW w:w="402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应用技术型大学成本会计实训教学体系的改革研究与实践</w:t>
            </w:r>
          </w:p>
        </w:tc>
        <w:tc>
          <w:tcPr>
            <w:tcW w:w="160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杨玉红</w:t>
            </w:r>
          </w:p>
        </w:tc>
        <w:tc>
          <w:tcPr>
            <w:tcW w:w="151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财经学院</w:t>
            </w:r>
          </w:p>
        </w:tc>
        <w:tc>
          <w:tcPr>
            <w:tcW w:w="100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一般</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rPr>
          <w:trHeight w:val="756" w:hRule="atLeast"/>
        </w:trPr>
        <w:tc>
          <w:tcPr>
            <w:tcW w:w="50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c>
          <w:tcPr>
            <w:tcW w:w="118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J2015139</w:t>
            </w:r>
          </w:p>
        </w:tc>
        <w:tc>
          <w:tcPr>
            <w:tcW w:w="402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应用技术型新建本科视觉传达设计专业实践教学改革与研究</w:t>
            </w:r>
          </w:p>
        </w:tc>
        <w:tc>
          <w:tcPr>
            <w:tcW w:w="160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米万锁</w:t>
            </w:r>
          </w:p>
        </w:tc>
        <w:tc>
          <w:tcPr>
            <w:tcW w:w="151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艺术学院</w:t>
            </w:r>
          </w:p>
        </w:tc>
        <w:tc>
          <w:tcPr>
            <w:tcW w:w="100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一般</w:t>
            </w:r>
          </w:p>
        </w:tc>
      </w:tr>
    </w:tbl>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1"/>
          <w:szCs w:val="21"/>
          <w:shd w:val="clear" w:fill="FFFFFF"/>
        </w:rPr>
        <w:t>表三：2015年度哲学社会科学研究项目</w:t>
      </w:r>
    </w:p>
    <w:tbl>
      <w:tblPr>
        <w:tblStyle w:val="4"/>
        <w:tblpPr w:leftFromText="180" w:rightFromText="180" w:vertAnchor="text" w:horzAnchor="page" w:tblpX="144" w:tblpY="926"/>
        <w:tblOverlap w:val="never"/>
        <w:tblW w:w="16350"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45" w:type="dxa"/>
          <w:left w:w="45" w:type="dxa"/>
          <w:bottom w:w="45" w:type="dxa"/>
          <w:right w:w="45" w:type="dxa"/>
        </w:tblCellMar>
      </w:tblPr>
      <w:tblGrid>
        <w:gridCol w:w="686"/>
        <w:gridCol w:w="1964"/>
        <w:gridCol w:w="6834"/>
        <w:gridCol w:w="3001"/>
        <w:gridCol w:w="2070"/>
        <w:gridCol w:w="1795"/>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68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序号</w:t>
            </w:r>
          </w:p>
        </w:tc>
        <w:tc>
          <w:tcPr>
            <w:tcW w:w="196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项目编号</w:t>
            </w:r>
          </w:p>
        </w:tc>
        <w:tc>
          <w:tcPr>
            <w:tcW w:w="683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项目名称</w:t>
            </w:r>
          </w:p>
        </w:tc>
        <w:tc>
          <w:tcPr>
            <w:tcW w:w="300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负责人</w:t>
            </w:r>
          </w:p>
        </w:tc>
        <w:tc>
          <w:tcPr>
            <w:tcW w:w="20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项目类别</w:t>
            </w:r>
          </w:p>
        </w:tc>
        <w:tc>
          <w:tcPr>
            <w:tcW w:w="17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所在院部</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68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w:t>
            </w:r>
          </w:p>
        </w:tc>
        <w:tc>
          <w:tcPr>
            <w:tcW w:w="196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20152213</w:t>
            </w:r>
          </w:p>
        </w:tc>
        <w:tc>
          <w:tcPr>
            <w:tcW w:w="683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高考改革背景下不同社会群体对职业教育内隐态度的研究</w:t>
            </w:r>
          </w:p>
        </w:tc>
        <w:tc>
          <w:tcPr>
            <w:tcW w:w="300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李俊晓</w:t>
            </w:r>
          </w:p>
        </w:tc>
        <w:tc>
          <w:tcPr>
            <w:tcW w:w="20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哲学社会科学</w:t>
            </w:r>
          </w:p>
        </w:tc>
        <w:tc>
          <w:tcPr>
            <w:tcW w:w="17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科技处</w:t>
            </w:r>
          </w:p>
        </w:tc>
      </w:tr>
    </w:tbl>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8"/>
          <w:szCs w:val="28"/>
          <w:shd w:val="clear" w:fill="FFFFFF"/>
        </w:rPr>
        <w:t>（四）教学管理</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4"/>
          <w:szCs w:val="24"/>
          <w:shd w:val="clear" w:fill="FFFFFF"/>
        </w:rPr>
        <w:t>1.教学管理制度</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为规范我校本科教学管理工作，教务处于2015年4月完成了原有教学规章制度的整理、修订、完善和装订成册工作，形成了一套具有可操作性的、基本完整的本科教学管理文件，为今后的教学管理提供了依据。6月，完成了现有7个本科专业人才培养方案的修订工作，并装订成册发放到每一位教学管理人员手中。10月，组织现有本科专业各门课程的教学大纲（课程标准）的编写工作，现编写、审核、修改工作已初步完成，即将装订印发。</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4"/>
          <w:szCs w:val="24"/>
          <w:shd w:val="clear" w:fill="FFFFFF"/>
        </w:rPr>
        <w:t>2.教学运行</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在日常的教学管理过程中，我校教学职能部门——教务处，各教学单位——二级学院以及基础教学部，以规范教学为核心，以监控和考核为抓手，严格执行人才培养方案，从教学计划的分解、教学任务的下达，到日常的教学运行管理（请假、调课），再到期末考试的命题、组织以及成绩的管理等进行严格管理，保障教育教学活动的顺利进行，切实提高教育教学质量。</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8"/>
          <w:szCs w:val="28"/>
          <w:shd w:val="clear" w:fill="FFFFFF"/>
        </w:rPr>
        <w:t>（五）教学质量监控</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为了保证教学质量，教指委、教务处、人事处以及各二级学院、部定时、不定时地对学校的整体教学情况进行督导检查，及时发现问题，解决问题。</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4"/>
          <w:szCs w:val="24"/>
          <w:shd w:val="clear" w:fill="FFFFFF"/>
        </w:rPr>
        <w:t>1.坚持实施“三段”检查制度</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学校开学初为第一段，重点对教师课程教学内容安排、进度计划编制等进行监测与调控，其主要内容包括教学内容与教学大纲的一致性、教学方法与手段的采用等。学期中为第二段，重点检查教师教学进度计划的执行情况和课堂教学质量。学期末为第三段，重点检查教师教学进度计划的完成情况、课程考试命题、评卷和试卷分析质量等。“三段”检查制度在规范教学秩序，提高教学质量方面发挥了重要的作用。</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4"/>
          <w:szCs w:val="24"/>
          <w:shd w:val="clear" w:fill="FFFFFF"/>
        </w:rPr>
        <w:t>2.严格落实听课制度</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为了深入了解全体教师的教学状况和教学效果，加强对教学过程的监控和教学效果的考核，根据学校《山西应用科技学院听评课制度》的相关规定和要求，各二级学院制定详细的、切实可行的工作计划，了解每一位教师的教学进度、教师备课情况和作业批改情况等，发现问题，及时反馈听课意见，并加以整改。听课结束后，要对每一位任课教师的教学效果做出定量和定性的评价，填写《听课评教汇总表》，记入教师的业务档案。</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30"/>
          <w:szCs w:val="30"/>
          <w:shd w:val="clear" w:fill="FFFFFF"/>
        </w:rPr>
        <w:t>四、本学年学校教学的特色、亮点</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8"/>
          <w:szCs w:val="28"/>
          <w:shd w:val="clear" w:fill="FFFFFF"/>
        </w:rPr>
        <w:t>（一）进行“创新、创造、创业”的三创教育</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2014年底，我校在新生中选拔了150余名品学兼优、有思想、有见解、不甘平庸、创业意识强烈的同学，创办了人才培养的新模式——1+1实验班。</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邀请校内教师、校外专家、企业经理以创业导师组建的教学团队，通过讲座、座谈、实地考察、企业模拟等形式，进行人文素养、经营管理学、成功教育学、技能培养和创业教育与实践五个模块的学习，让他们掌握创业的基本知识和技能，提高创新创业能力，培养具有“创造、创新和创业”意识和能力的学生。</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2014-2015学年第二学期，实验班除了进行系统的课程学习外，还邀请了优秀毕业生作关于创业的主题讲座、进行了七彩放映团队“企业模拟”实战经营大赛、参加了“青创未来小店区大学生创业梦想季”大赛、走进蒙牛、创业孵化园区参观学习等实践活动，丰富了他们的社会实践经验，锻炼了创新创业的实际动手操作能力。</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8"/>
          <w:szCs w:val="28"/>
          <w:shd w:val="clear" w:fill="FFFFFF"/>
        </w:rPr>
        <w:t>（二）坚持应用本科办学方向，加强学生实践能力培养</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制订了与之相适应的人才培养方案，方案特别突出了学生技术、技能能力的培养，实践教学课时比例占总课时的40%以上。</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强化实验室建设，在经费紧张的情况下，投入大量财力、物力，根据我校专业设置，建设了建工、酒店、汽车、物流四大集群实验、实训室，使学生在校内就能完成基本工程训练和基本的专业技能训练。</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注重学生技能培养，每年举办学生技能大赛，在比赛项目的设置上，注意了与对应岗位技能的对接，与省级乃至国家级大学生职业技能大赛所设项目对接，还有一些项目是学校同企业联合组织，大赛在工作实境中进行，通过大赛真正达到了以赛促学、以赛促练、以赛促教、以赛促改的目的。</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30"/>
          <w:szCs w:val="30"/>
          <w:shd w:val="clear" w:fill="FFFFFF"/>
        </w:rPr>
        <w:t>五、教育教学工作中存在的主要问题及对策分析</w:t>
      </w:r>
    </w:p>
    <w:p>
      <w:pPr>
        <w:pStyle w:val="2"/>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676767"/>
          <w:spacing w:val="0"/>
        </w:rPr>
      </w:pPr>
      <w:r>
        <w:rPr>
          <w:rFonts w:hint="eastAsia" w:ascii="微软雅黑" w:hAnsi="微软雅黑" w:eastAsia="微软雅黑" w:cs="微软雅黑"/>
          <w:i w:val="0"/>
          <w:iCs w:val="0"/>
          <w:caps w:val="0"/>
          <w:color w:val="000000"/>
          <w:spacing w:val="0"/>
          <w:sz w:val="24"/>
          <w:szCs w:val="24"/>
          <w:shd w:val="clear" w:fill="FFFFFF"/>
        </w:rPr>
        <w:t>　　在校党委的领导、各部门共同的努力下，我校本科教育教学工作取得了一些成绩和经验，并逐步形成了自己的办学特色。但我们依旧清醒的认识到，与教育部的高标准相比，我校本科教学工作在某些方面的不足和差距还是明显的，和省内教学管理经验丰富的“老八所”院校相比较，我们在教育教学管理中还面临着很多困难，存在一些问题。</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8"/>
          <w:szCs w:val="28"/>
          <w:shd w:val="clear" w:fill="FFFFFF"/>
        </w:rPr>
        <w:t>（一）教师队伍新，培训提高任务大</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我校作为一所新的民办本科院校，教师的主体为中青年新教师，而且大多数都是首次承担本科阶段的课程，他们在了解课堂教学的环节和学生的学习心理特点，掌握课堂教学理论、方法和手段，提升课堂教学组织和管理能力等方面还有待提高。本科教学阶段教师队伍“三新”的实际情况对我校师资队伍建设，尤其是师资培训提高是一项艰巨的任务，也是不小的挑战。</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8"/>
          <w:szCs w:val="28"/>
          <w:shd w:val="clear" w:fill="FFFFFF"/>
        </w:rPr>
        <w:t>（二）办校资金紧，教学投入有限</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民办高校的办学经费完全仰仗着学生的学费收入，在这种“以学养学”的财政环境下，我校仍然多方筹措基金，学费收入全部用于改善办学环境，提高教学质量。且在办学资金十分紧张的情况下，专门划拨了大量的经费，用于加大实训、实验教学仪器的建设。但作为一所应用型本科院校，为了培养应用型、技术技能型的复合型人才，理工类的实验实训要求要比普通大学还要高，这对于我们一所新的民办本科院校来说，确实尚有较大的不足，对完善实践教学环境，提升实践教学水平有一些影响。</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接下来我校将努力加强以下三方面工作：</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8"/>
          <w:szCs w:val="28"/>
          <w:shd w:val="clear" w:fill="FFFFFF"/>
        </w:rPr>
        <w:t>（一）把握办学方向，设置紧缺专业，满足服务需求</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十三五期间，我校将以服务地方经济为导向，以现有的特色专业为基点，按照“优势突出、特色鲜明、新兴交叉、社会急需”的思路，重点扶持优势专业，强化特色专业，整合新兴和交叉专业，兴办社会急需专业。积极打造结构严密、布局合理、具有鲜明特色的专业群。通过新建、发展、改造与整合，调整专业结构与布局，丰富和充实专业内涵，凝炼和建设重点专业，新建一批新兴专业，发展一批应用型专业，改造和调整一批传统专业，使学校的本科专业建设达到结构合理、规模适度、特色鲜明、重视质量的建设目标。</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优先发展区域经济社会发展和中小微民营企业急需的应用型全日制普通本科专业；保留社会紧缺、教学质量好的高职高专专业；逐步淘汰生源差、长期供过于求的高职专业；协调开展成人继续教育本科专业。根据社会需求适时调整专业结构，修订科学可行的人才培养方案，努力构建优势突出、特色鲜明的协调发展的专业体系。</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8"/>
          <w:szCs w:val="28"/>
          <w:shd w:val="clear" w:fill="FFFFFF"/>
        </w:rPr>
        <w:t>（二）探索应用型人才培养模式的探索与改革</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我校是山西省第一所应用型本科高校，也是国家在鼓励和引导部分地方普通本科高校向应用型转变的首批升本高校，这对于我们这所由高职升为本科的高校来说，是一个不错的机遇。在探索应用型人才培养模式的道路上，我们有十几年的职业教育经验可供借鉴，对于如何培养技术技能型人才有一定的基础。在接下来的办学道路上，我们将继续探索高层次、高水平技术技能型人才的培养，增强服务社会的能力，增强学生就业创业能力的培养和创新，改革和创新应用型人才培养模式。</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i w:val="0"/>
          <w:iCs w:val="0"/>
          <w:caps w:val="0"/>
          <w:color w:val="000000"/>
          <w:spacing w:val="0"/>
          <w:sz w:val="28"/>
          <w:szCs w:val="28"/>
          <w:shd w:val="clear" w:fill="FFFFFF"/>
        </w:rPr>
        <w:t>（三）加强“双师型”师资队伍建设</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在现有学校“双师型”教师数量的基础上，逐步加大引进比例，吸引优秀的企业技术人员和管理人员来校承担教学任务和指导教学改革和实践，进一步提高“双师型”教师的水平和质量。另外，有计划地选送专职教师到企业接受培训、挂职工作和实践锻炼。通过增加教师外出交流和调研的机会，增加教师业务知识学习和培训的机会，增加教师专业实践能力锻炼和展示的机会，以达到课堂教学水平，实践操作水平、科学研究水平、创新创业水平“四提高”的目的和作用。</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附件：山西应用科技学院2014年本科教学质量报告支撑数据</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山西应用科技学院</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2015年11月20日</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sz w:val="24"/>
          <w:szCs w:val="24"/>
          <w:shd w:val="clear" w:fill="FFFFFF"/>
        </w:rPr>
        <w:t>附件</w:t>
      </w:r>
    </w:p>
    <w:p>
      <w:pPr>
        <w:pStyle w:val="3"/>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黑体" w:hAnsi="宋体" w:eastAsia="黑体" w:cs="黑体"/>
          <w:b/>
          <w:bCs/>
          <w:i w:val="0"/>
          <w:iCs w:val="0"/>
          <w:caps w:val="0"/>
          <w:color w:val="000000"/>
          <w:spacing w:val="0"/>
          <w:sz w:val="36"/>
          <w:szCs w:val="36"/>
          <w:shd w:val="clear" w:fill="FFFFFF"/>
        </w:rPr>
        <w:t>本科教学质量报告有关支撑数据</w:t>
      </w:r>
    </w:p>
    <w:p>
      <w:pPr>
        <w:pStyle w:val="3"/>
        <w:keepNext w:val="0"/>
        <w:keepLines w:val="0"/>
        <w:widowControl/>
        <w:suppressLineNumbers w:val="0"/>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8"/>
          <w:szCs w:val="28"/>
          <w:shd w:val="clear" w:fill="FFFFFF"/>
        </w:rPr>
        <w:t>学校名称：山西应用科技学院                                                                   2015.11</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tbl>
      <w:tblPr>
        <w:tblW w:w="0" w:type="auto"/>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45" w:type="dxa"/>
          <w:left w:w="45" w:type="dxa"/>
          <w:bottom w:w="45" w:type="dxa"/>
          <w:right w:w="45" w:type="dxa"/>
        </w:tblCellMar>
      </w:tblPr>
      <w:tblGrid>
        <w:gridCol w:w="410"/>
        <w:gridCol w:w="410"/>
        <w:gridCol w:w="411"/>
        <w:gridCol w:w="411"/>
        <w:gridCol w:w="522"/>
        <w:gridCol w:w="522"/>
        <w:gridCol w:w="522"/>
        <w:gridCol w:w="522"/>
        <w:gridCol w:w="411"/>
        <w:gridCol w:w="411"/>
        <w:gridCol w:w="411"/>
        <w:gridCol w:w="411"/>
        <w:gridCol w:w="411"/>
        <w:gridCol w:w="411"/>
        <w:gridCol w:w="411"/>
        <w:gridCol w:w="411"/>
        <w:gridCol w:w="411"/>
        <w:gridCol w:w="411"/>
        <w:gridCol w:w="411"/>
        <w:gridCol w:w="355"/>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本科生人数</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外聘教师数</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本科教学日常运行支出（万元）</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本科专项教学经费</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24"/>
                <w:szCs w:val="24"/>
                <w:bdr w:val="none" w:color="auto" w:sz="0" w:space="0"/>
                <w:lang w:val="en-US" w:eastAsia="zh-CN" w:bidi="ar"/>
              </w:rPr>
              <w:t>改革建设</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本科实验经费（万元）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24"/>
                <w:szCs w:val="24"/>
                <w:bdr w:val="none" w:color="auto" w:sz="0" w:space="0"/>
                <w:lang w:val="en-US" w:eastAsia="zh-CN" w:bidi="ar"/>
              </w:rPr>
              <w:t>运行维护</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本科实习经费（万元）</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实践教学学分比例</w:t>
            </w:r>
          </w:p>
        </w:tc>
        <w:tc>
          <w:tcPr>
            <w:tcW w:w="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实验室面积</w:t>
            </w:r>
          </w:p>
        </w:tc>
        <w:tc>
          <w:tcPr>
            <w:tcW w:w="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应届本科生</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体质测试达标率</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学生学习满意度</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用人单位对毕业生满意度</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年度</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专任教师数</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具有外校学缘数</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教授总人数</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应受课教授数</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实际授课教授数</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毕业率</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学位授予率</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初次就业率</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2014</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2015</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2495</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398</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398</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96</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1211.71</w:t>
            </w:r>
            <w:r>
              <w:rPr>
                <w:rFonts w:hint="eastAsia" w:ascii="宋体" w:hAnsi="宋体" w:eastAsia="宋体" w:cs="宋体"/>
                <w:i w:val="0"/>
                <w:iCs w:val="0"/>
                <w:caps w:val="0"/>
                <w:color w:val="000000"/>
                <w:spacing w:val="0"/>
                <w:kern w:val="0"/>
                <w:sz w:val="18"/>
                <w:szCs w:val="18"/>
                <w:bdr w:val="none" w:color="auto" w:sz="0" w:space="0"/>
                <w:lang w:val="en-US" w:eastAsia="zh-CN" w:bidi="ar"/>
              </w:rPr>
              <w:t>（含专科）</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68.13</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（含专科）</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653.21</w:t>
            </w:r>
            <w:r>
              <w:rPr>
                <w:rFonts w:hint="eastAsia" w:ascii="宋体" w:hAnsi="宋体" w:eastAsia="宋体" w:cs="宋体"/>
                <w:i w:val="0"/>
                <w:iCs w:val="0"/>
                <w:caps w:val="0"/>
                <w:color w:val="000000"/>
                <w:spacing w:val="0"/>
                <w:kern w:val="0"/>
                <w:sz w:val="18"/>
                <w:szCs w:val="18"/>
                <w:bdr w:val="none" w:color="auto" w:sz="0" w:space="0"/>
                <w:lang w:val="en-US" w:eastAsia="zh-CN" w:bidi="ar"/>
              </w:rPr>
              <w:t>（含专科）</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0</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39.35</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56</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56</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15</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9088</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0</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0</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0</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95.9</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94.55</w:t>
            </w:r>
          </w:p>
        </w:tc>
        <w:tc>
          <w:tcPr>
            <w:tcW w:w="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0</w:t>
            </w:r>
          </w:p>
        </w:tc>
      </w:tr>
    </w:tbl>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8"/>
          <w:szCs w:val="28"/>
          <w:shd w:val="clear" w:fill="FFFFFF"/>
        </w:rPr>
        <w:t>注：财务数据按年度统计，其它数据按学年统计。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65866"/>
    <w:rsid w:val="3DD65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2022-01-08T02:22:00Z</dcterms:created>
  <dc:creator>Administrator</dc:creator>
  <cp:lastModifiedBy>Administrator</cp:lastModifiedBy>
  <dcterms:modified xsi:type="dcterms:W3CDTF">2022-01-08T02:24:54Z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A840314AFC054A26AF212D430AF2A81E</vt:lpwstr>
  </property>
</Properties>
</file>