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numPr>
          <w:ilvl w:val="0"/>
          <w:numId w:val="0"/>
        </w:numPr>
        <w:tabs>
          <w:tab w:val="left" w:pos="952"/>
        </w:tabs>
        <w:kinsoku/>
        <w:wordWrap/>
        <w:overflowPunct/>
        <w:topLinePunct w:val="0"/>
        <w:autoSpaceDE w:val="0"/>
        <w:autoSpaceDN w:val="0"/>
        <w:bidi w:val="0"/>
        <w:adjustRightInd/>
        <w:snapToGrid/>
        <w:spacing w:before="0" w:after="0" w:line="480" w:lineRule="exact"/>
        <w:ind w:right="0" w:rightChars="0"/>
        <w:jc w:val="left"/>
        <w:textAlignment w:val="auto"/>
        <w:rPr>
          <w:rFonts w:hint="eastAsia" w:ascii="黑体" w:hAnsi="黑体" w:eastAsia="黑体" w:cs="黑体"/>
          <w:b/>
          <w:bCs/>
          <w:sz w:val="32"/>
          <w:szCs w:val="32"/>
          <w:lang w:val="en-US" w:eastAsia="zh-Hans"/>
        </w:rPr>
      </w:pPr>
      <w:r>
        <w:rPr>
          <w:rFonts w:hint="eastAsia" w:ascii="黑体" w:hAnsi="黑体" w:eastAsia="黑体" w:cs="黑体"/>
          <w:b/>
          <w:bCs/>
          <w:sz w:val="32"/>
          <w:szCs w:val="32"/>
          <w:lang w:val="en-US" w:eastAsia="zh-Hans"/>
        </w:rPr>
        <w:t>附件</w:t>
      </w:r>
      <w:bookmarkStart w:id="0" w:name="_GoBack"/>
      <w:bookmarkEnd w:id="0"/>
    </w:p>
    <w:p>
      <w:pPr>
        <w:pStyle w:val="10"/>
        <w:keepNext w:val="0"/>
        <w:keepLines w:val="0"/>
        <w:pageBreakBefore w:val="0"/>
        <w:widowControl w:val="0"/>
        <w:numPr>
          <w:ilvl w:val="0"/>
          <w:numId w:val="0"/>
        </w:numPr>
        <w:tabs>
          <w:tab w:val="left" w:pos="952"/>
        </w:tabs>
        <w:kinsoku/>
        <w:wordWrap/>
        <w:overflowPunct/>
        <w:topLinePunct w:val="0"/>
        <w:autoSpaceDE w:val="0"/>
        <w:autoSpaceDN w:val="0"/>
        <w:bidi w:val="0"/>
        <w:adjustRightInd/>
        <w:snapToGrid/>
        <w:spacing w:before="0" w:after="0" w:line="7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山西应用科技学院</w:t>
      </w:r>
      <w:r>
        <w:rPr>
          <w:rFonts w:hint="eastAsia" w:ascii="方正小标宋简体" w:hAnsi="方正小标宋简体" w:eastAsia="方正小标宋简体" w:cs="方正小标宋简体"/>
          <w:b/>
          <w:bCs/>
          <w:sz w:val="44"/>
          <w:szCs w:val="44"/>
          <w:lang w:eastAsia="zh-CN"/>
        </w:rPr>
        <w:t>一流课程</w:t>
      </w:r>
      <w:r>
        <w:rPr>
          <w:rFonts w:hint="eastAsia" w:ascii="方正小标宋简体" w:hAnsi="方正小标宋简体" w:eastAsia="方正小标宋简体" w:cs="方正小标宋简体"/>
          <w:b/>
          <w:bCs/>
          <w:sz w:val="44"/>
          <w:szCs w:val="44"/>
        </w:rPr>
        <w:t>建设指标体系</w:t>
      </w:r>
    </w:p>
    <w:p>
      <w:pPr>
        <w:pStyle w:val="10"/>
        <w:keepNext w:val="0"/>
        <w:keepLines w:val="0"/>
        <w:pageBreakBefore w:val="0"/>
        <w:widowControl w:val="0"/>
        <w:numPr>
          <w:ilvl w:val="0"/>
          <w:numId w:val="0"/>
        </w:numPr>
        <w:tabs>
          <w:tab w:val="left" w:pos="952"/>
        </w:tabs>
        <w:kinsoku/>
        <w:wordWrap/>
        <w:overflowPunct/>
        <w:topLinePunct w:val="0"/>
        <w:autoSpaceDE w:val="0"/>
        <w:autoSpaceDN w:val="0"/>
        <w:bidi w:val="0"/>
        <w:adjustRightInd/>
        <w:snapToGrid/>
        <w:spacing w:before="0" w:after="0" w:afterLines="100" w:line="700" w:lineRule="exact"/>
        <w:ind w:left="0" w:leftChars="0" w:right="0" w:rightChars="0" w:firstLine="0" w:firstLineChars="0"/>
        <w:jc w:val="center"/>
        <w:textAlignment w:val="auto"/>
        <w:outlineLvl w:val="9"/>
        <w:rPr>
          <w:rFonts w:hint="default" w:ascii="Times New Roman" w:hAnsi="Times New Roman" w:eastAsia="方正小标宋_GBK" w:cs="Times New Roman"/>
          <w:b/>
          <w:bCs/>
          <w:sz w:val="44"/>
          <w:szCs w:val="44"/>
          <w:lang w:val="en-US" w:eastAsia="zh-Hans"/>
        </w:rPr>
      </w:pPr>
      <w:r>
        <w:rPr>
          <w:rFonts w:hint="eastAsia" w:ascii="方正小标宋简体" w:hAnsi="方正小标宋简体" w:eastAsia="方正小标宋简体" w:cs="方正小标宋简体"/>
          <w:b/>
          <w:bCs/>
          <w:sz w:val="44"/>
          <w:szCs w:val="44"/>
        </w:rPr>
        <w:t>（试行</w:t>
      </w:r>
      <w:r>
        <w:rPr>
          <w:rFonts w:hint="default" w:ascii="Times New Roman" w:hAnsi="Times New Roman" w:eastAsia="方正小标宋_GBK" w:cs="Times New Roman"/>
          <w:b/>
          <w:bCs/>
          <w:sz w:val="44"/>
          <w:szCs w:val="44"/>
        </w:rPr>
        <w:t>）</w:t>
      </w:r>
    </w:p>
    <w:p>
      <w:pPr>
        <w:pStyle w:val="10"/>
        <w:keepNext w:val="0"/>
        <w:keepLines w:val="0"/>
        <w:pageBreakBefore w:val="0"/>
        <w:numPr>
          <w:ilvl w:val="0"/>
          <w:numId w:val="0"/>
        </w:numPr>
        <w:tabs>
          <w:tab w:val="left" w:pos="952"/>
        </w:tabs>
        <w:kinsoku/>
        <w:wordWrap/>
        <w:overflowPunct/>
        <w:topLinePunct w:val="0"/>
        <w:autoSpaceDE w:val="0"/>
        <w:autoSpaceDN w:val="0"/>
        <w:bidi w:val="0"/>
        <w:adjustRightInd/>
        <w:snapToGrid/>
        <w:spacing w:before="0" w:after="0" w:line="240" w:lineRule="auto"/>
        <w:ind w:right="0" w:rightChars="0" w:firstLine="0" w:firstLineChars="0"/>
        <w:jc w:val="both"/>
        <w:textAlignment w:val="auto"/>
        <w:rPr>
          <w:rFonts w:hint="default" w:ascii="Times New Roman" w:hAnsi="Times New Roman" w:eastAsia="仿宋" w:cs="Times New Roman"/>
          <w:sz w:val="32"/>
          <w:szCs w:val="32"/>
          <w:lang w:val="en-US" w:eastAsia="zh-Hans"/>
        </w:rPr>
      </w:pPr>
      <w:r>
        <w:rPr>
          <w:rFonts w:hint="default" w:ascii="Times New Roman" w:hAnsi="Times New Roman" w:eastAsia="黑体" w:cs="Times New Roman"/>
          <w:b/>
          <w:bCs/>
          <w:sz w:val="32"/>
          <w:szCs w:val="32"/>
          <w:lang w:val="en-US" w:eastAsia="zh-Hans" w:bidi="zh-CN"/>
        </w:rPr>
        <w:t>一、线上一流课程评审指标</w:t>
      </w:r>
    </w:p>
    <w:p>
      <w:pPr>
        <w:pStyle w:val="2"/>
        <w:keepNext w:val="0"/>
        <w:keepLines w:val="0"/>
        <w:pageBreakBefore w:val="0"/>
        <w:kinsoku/>
        <w:wordWrap/>
        <w:overflowPunct/>
        <w:topLinePunct w:val="0"/>
        <w:autoSpaceDE w:val="0"/>
        <w:autoSpaceDN w:val="0"/>
        <w:bidi w:val="0"/>
        <w:adjustRightInd/>
        <w:snapToGrid/>
        <w:spacing w:before="0" w:line="480" w:lineRule="exact"/>
        <w:jc w:val="both"/>
        <w:textAlignment w:val="auto"/>
        <w:rPr>
          <w:rFonts w:hint="default" w:ascii="Times New Roman" w:hAnsi="Times New Roman" w:eastAsia="楷体" w:cs="Times New Roman"/>
          <w:b/>
          <w:bCs/>
          <w:sz w:val="32"/>
          <w:szCs w:val="32"/>
          <w:lang w:val="en-US" w:eastAsia="zh-Hans"/>
        </w:rPr>
      </w:pPr>
      <w:r>
        <w:rPr>
          <w:rFonts w:hint="default" w:ascii="Times New Roman" w:hAnsi="Times New Roman" w:eastAsia="楷体" w:cs="Times New Roman"/>
          <w:b/>
          <w:bCs/>
          <w:sz w:val="32"/>
          <w:szCs w:val="32"/>
          <w:lang w:val="en-US" w:eastAsia="zh-Hans"/>
        </w:rPr>
        <w:t>（一）否决性指标</w:t>
      </w:r>
    </w:p>
    <w:tbl>
      <w:tblPr>
        <w:tblStyle w:val="6"/>
        <w:tblW w:w="8804" w:type="dxa"/>
        <w:tblInd w:w="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2250"/>
        <w:gridCol w:w="6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285" w:hRule="atLeast"/>
        </w:trPr>
        <w:tc>
          <w:tcPr>
            <w:tcW w:w="2250" w:type="dxa"/>
            <w:shd w:val="clear" w:color="auto" w:fill="FFFFFF"/>
            <w:vAlign w:val="top"/>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333333"/>
                <w:sz w:val="24"/>
                <w:szCs w:val="24"/>
                <w:u w:val="none"/>
              </w:rPr>
            </w:pPr>
            <w:r>
              <w:rPr>
                <w:rFonts w:hint="default" w:ascii="Times New Roman" w:hAnsi="Times New Roman" w:cs="Times New Roman" w:eastAsiaTheme="minorEastAsia"/>
                <w:b/>
                <w:bCs/>
                <w:i w:val="0"/>
                <w:color w:val="333333"/>
                <w:kern w:val="0"/>
                <w:sz w:val="24"/>
                <w:szCs w:val="24"/>
                <w:u w:val="none"/>
                <w:lang w:val="en-US" w:eastAsia="zh-CN" w:bidi="ar"/>
              </w:rPr>
              <w:t>项</w:t>
            </w:r>
          </w:p>
        </w:tc>
        <w:tc>
          <w:tcPr>
            <w:tcW w:w="6554" w:type="dxa"/>
            <w:shd w:val="clear" w:color="auto" w:fill="FFFFFF"/>
            <w:vAlign w:val="top"/>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333333"/>
                <w:sz w:val="24"/>
                <w:szCs w:val="24"/>
                <w:u w:val="none"/>
              </w:rPr>
            </w:pPr>
            <w:r>
              <w:rPr>
                <w:rFonts w:hint="default" w:ascii="Times New Roman" w:hAnsi="Times New Roman" w:cs="Times New Roman" w:eastAsiaTheme="minorEastAsia"/>
                <w:b/>
                <w:bCs/>
                <w:i w:val="0"/>
                <w:color w:val="333333"/>
                <w:kern w:val="0"/>
                <w:sz w:val="24"/>
                <w:szCs w:val="24"/>
                <w:u w:val="none"/>
                <w:lang w:val="en-US" w:eastAsia="zh-CN" w:bidi="ar"/>
              </w:rPr>
              <w:t>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795" w:hRule="atLeast"/>
        </w:trPr>
        <w:tc>
          <w:tcPr>
            <w:tcW w:w="2250" w:type="dxa"/>
            <w:vMerge w:val="restart"/>
            <w:shd w:val="clear" w:color="auto" w:fill="FFFFFF"/>
            <w:vAlign w:val="center"/>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kern w:val="0"/>
                <w:sz w:val="24"/>
                <w:szCs w:val="24"/>
                <w:u w:val="none"/>
                <w:lang w:val="en-US" w:eastAsia="zh-CN" w:bidi="ar"/>
              </w:rPr>
              <w:t>平台资格</w:t>
            </w:r>
          </w:p>
        </w:tc>
        <w:tc>
          <w:tcPr>
            <w:tcW w:w="6554" w:type="dxa"/>
            <w:shd w:val="clear" w:color="auto" w:fill="FFFFFF"/>
            <w:vAlign w:val="top"/>
          </w:tcPr>
          <w:p>
            <w:pPr>
              <w:keepNext w:val="0"/>
              <w:keepLines w:val="0"/>
              <w:pageBreakBefore w:val="0"/>
              <w:widowControl/>
              <w:suppressLineNumbers w:val="0"/>
              <w:kinsoku/>
              <w:wordWrap/>
              <w:overflowPunct/>
              <w:topLinePunct w:val="0"/>
              <w:autoSpaceDE w:val="0"/>
              <w:autoSpaceDN w:val="0"/>
              <w:bidi w:val="0"/>
              <w:adjustRightInd/>
              <w:snapToGrid/>
              <w:spacing w:before="0" w:after="0" w:line="400" w:lineRule="exact"/>
              <w:ind w:left="0" w:leftChars="0" w:right="0" w:rightChars="0" w:firstLine="0" w:firstLineChars="0"/>
              <w:jc w:val="left"/>
              <w:textAlignment w:val="top"/>
              <w:outlineLvl w:val="9"/>
              <w:rPr>
                <w:rFonts w:hint="default" w:ascii="Times New Roman" w:hAnsi="Times New Roman" w:cs="Times New Roman" w:eastAsiaTheme="minorEastAsia"/>
                <w:i w:val="0"/>
                <w:color w:val="auto"/>
                <w:kern w:val="0"/>
                <w:sz w:val="24"/>
                <w:szCs w:val="24"/>
                <w:u w:val="none"/>
                <w:lang w:val="en-US" w:eastAsia="zh-CN" w:bidi="ar"/>
              </w:rPr>
            </w:pPr>
            <w:r>
              <w:rPr>
                <w:rFonts w:hint="default" w:ascii="Times New Roman" w:hAnsi="Times New Roman" w:cs="Times New Roman" w:eastAsiaTheme="minorEastAsia"/>
                <w:i w:val="0"/>
                <w:color w:val="auto"/>
                <w:kern w:val="0"/>
                <w:sz w:val="24"/>
                <w:szCs w:val="24"/>
                <w:u w:val="none"/>
                <w:lang w:val="en-US" w:eastAsia="zh-CN" w:bidi="ar"/>
              </w:rPr>
              <w:t>1、无工信部ICP网站备案、无公安机关网站备案号、无信息安全二级以上等级保护证书</w:t>
            </w:r>
          </w:p>
          <w:p>
            <w:pPr>
              <w:keepNext w:val="0"/>
              <w:keepLines w:val="0"/>
              <w:pageBreakBefore w:val="0"/>
              <w:widowControl/>
              <w:suppressLineNumbers w:val="0"/>
              <w:kinsoku/>
              <w:wordWrap/>
              <w:overflowPunct/>
              <w:topLinePunct w:val="0"/>
              <w:autoSpaceDE w:val="0"/>
              <w:autoSpaceDN w:val="0"/>
              <w:bidi w:val="0"/>
              <w:adjustRightInd/>
              <w:snapToGrid/>
              <w:spacing w:before="0" w:after="0" w:line="400" w:lineRule="exact"/>
              <w:ind w:left="0" w:leftChars="0" w:right="0" w:rightChars="0" w:firstLine="0" w:firstLineChars="0"/>
              <w:jc w:val="left"/>
              <w:textAlignment w:val="top"/>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kern w:val="0"/>
                <w:sz w:val="24"/>
                <w:szCs w:val="24"/>
                <w:u w:val="none"/>
                <w:lang w:val="en-US" w:eastAsia="zh-CN" w:bidi="ar"/>
              </w:rPr>
              <w:t>2、非面向社会或高校开放平台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030" w:hRule="atLeast"/>
        </w:trPr>
        <w:tc>
          <w:tcPr>
            <w:tcW w:w="2250" w:type="dxa"/>
            <w:vMerge w:val="restart"/>
            <w:shd w:val="clear" w:color="auto" w:fill="FFFFFF"/>
            <w:vAlign w:val="center"/>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kern w:val="0"/>
                <w:sz w:val="24"/>
                <w:szCs w:val="24"/>
                <w:u w:val="none"/>
                <w:lang w:val="en-US" w:eastAsia="zh-CN" w:bidi="ar"/>
              </w:rPr>
              <w:t>课程资格</w:t>
            </w:r>
          </w:p>
        </w:tc>
        <w:tc>
          <w:tcPr>
            <w:tcW w:w="6554" w:type="dxa"/>
            <w:shd w:val="clear" w:color="auto" w:fill="FFFFFF"/>
            <w:vAlign w:val="top"/>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left"/>
              <w:textAlignment w:val="top"/>
              <w:outlineLvl w:val="9"/>
              <w:rPr>
                <w:rFonts w:hint="default" w:ascii="Times New Roman" w:hAnsi="Times New Roman" w:cs="Times New Roman" w:eastAsiaTheme="minorEastAsia"/>
                <w:i w:val="0"/>
                <w:color w:val="auto"/>
                <w:kern w:val="0"/>
                <w:sz w:val="24"/>
                <w:szCs w:val="24"/>
                <w:u w:val="none"/>
                <w:lang w:val="en-US" w:eastAsia="zh-CN" w:bidi="ar"/>
              </w:rPr>
            </w:pPr>
            <w:r>
              <w:rPr>
                <w:rFonts w:hint="default" w:ascii="Times New Roman" w:hAnsi="Times New Roman" w:cs="Times New Roman" w:eastAsiaTheme="minorEastAsia"/>
                <w:i w:val="0"/>
                <w:color w:val="auto"/>
                <w:kern w:val="0"/>
                <w:sz w:val="24"/>
                <w:szCs w:val="24"/>
                <w:u w:val="none"/>
                <w:lang w:val="en-US" w:eastAsia="zh-CN" w:bidi="ar"/>
              </w:rPr>
              <w:t>1、申报材料不齐备</w:t>
            </w:r>
          </w:p>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left"/>
              <w:textAlignment w:val="top"/>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kern w:val="0"/>
                <w:sz w:val="24"/>
                <w:szCs w:val="24"/>
                <w:u w:val="none"/>
                <w:lang w:val="en-US" w:eastAsia="zh-CN" w:bidi="ar"/>
              </w:rPr>
              <w:t>2、课程无法登录或无法打开</w:t>
            </w:r>
          </w:p>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left"/>
              <w:textAlignment w:val="top"/>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kern w:val="0"/>
                <w:sz w:val="24"/>
                <w:szCs w:val="24"/>
                <w:u w:val="none"/>
                <w:lang w:val="en-US" w:eastAsia="zh-CN" w:bidi="ar"/>
              </w:rPr>
              <w:t>3、无法显示完整内容和教学活动</w:t>
            </w:r>
          </w:p>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left"/>
              <w:textAlignment w:val="top"/>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kern w:val="0"/>
                <w:sz w:val="24"/>
                <w:szCs w:val="24"/>
                <w:u w:val="none"/>
                <w:lang w:val="en-US" w:eastAsia="zh-CN" w:bidi="ar"/>
              </w:rPr>
              <w:t>4、非慕课</w:t>
            </w:r>
          </w:p>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left"/>
              <w:textAlignment w:val="top"/>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kern w:val="0"/>
                <w:sz w:val="24"/>
                <w:szCs w:val="24"/>
                <w:u w:val="none"/>
                <w:lang w:val="en-US" w:eastAsia="zh-CN" w:bidi="ar"/>
              </w:rPr>
              <w:t>5、非本科/高职/专科教育课程</w:t>
            </w:r>
          </w:p>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left"/>
              <w:textAlignment w:val="top"/>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kern w:val="0"/>
                <w:sz w:val="24"/>
                <w:szCs w:val="24"/>
                <w:u w:val="none"/>
                <w:lang w:val="en-US" w:eastAsia="zh-CN" w:bidi="ar"/>
              </w:rPr>
              <w:t>6、开设时间或期数不符合申报要求</w:t>
            </w:r>
          </w:p>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left"/>
              <w:textAlignment w:val="top"/>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kern w:val="0"/>
                <w:sz w:val="24"/>
                <w:szCs w:val="24"/>
                <w:u w:val="none"/>
                <w:lang w:val="en-US" w:eastAsia="zh-CN" w:bidi="ar"/>
              </w:rPr>
              <w:t>7、教师无在线教学服务</w:t>
            </w:r>
          </w:p>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left"/>
              <w:textAlignment w:val="top"/>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kern w:val="0"/>
                <w:sz w:val="24"/>
                <w:szCs w:val="24"/>
                <w:u w:val="none"/>
                <w:lang w:val="en-US" w:eastAsia="zh-CN" w:bidi="ar"/>
              </w:rPr>
              <w:t>8、负责人非申报高校正式聘任教师</w:t>
            </w:r>
          </w:p>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left"/>
              <w:textAlignment w:val="top"/>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kern w:val="0"/>
                <w:sz w:val="24"/>
                <w:szCs w:val="24"/>
                <w:u w:val="none"/>
                <w:lang w:val="en-US" w:eastAsia="zh-CN" w:bidi="ar"/>
              </w:rPr>
              <w:t>9、存在思想性或较严重的科学性问题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2" w:hRule="atLeast"/>
        </w:trPr>
        <w:tc>
          <w:tcPr>
            <w:tcW w:w="2250" w:type="dxa"/>
            <w:shd w:val="clear" w:color="auto" w:fill="FFFFFF"/>
            <w:vAlign w:val="center"/>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kern w:val="0"/>
                <w:sz w:val="24"/>
                <w:szCs w:val="24"/>
                <w:u w:val="none"/>
                <w:lang w:val="en-US" w:eastAsia="zh-CN" w:bidi="ar"/>
              </w:rPr>
              <w:t>造假、侵权</w:t>
            </w:r>
          </w:p>
        </w:tc>
        <w:tc>
          <w:tcPr>
            <w:tcW w:w="6554" w:type="dxa"/>
            <w:shd w:val="clear" w:color="auto" w:fill="FFFFFF"/>
            <w:vAlign w:val="top"/>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left"/>
              <w:textAlignment w:val="top"/>
              <w:outlineLvl w:val="9"/>
              <w:rPr>
                <w:rFonts w:hint="default" w:ascii="Times New Roman" w:hAnsi="Times New Roman" w:cs="Times New Roman" w:eastAsiaTheme="minorEastAsia"/>
                <w:i w:val="0"/>
                <w:color w:val="auto"/>
                <w:kern w:val="0"/>
                <w:sz w:val="24"/>
                <w:szCs w:val="24"/>
                <w:u w:val="none"/>
                <w:lang w:val="en-US" w:eastAsia="zh-CN" w:bidi="ar"/>
              </w:rPr>
            </w:pPr>
            <w:r>
              <w:rPr>
                <w:rFonts w:hint="default" w:ascii="Times New Roman" w:hAnsi="Times New Roman" w:cs="Times New Roman" w:eastAsiaTheme="minorEastAsia"/>
                <w:i w:val="0"/>
                <w:color w:val="auto"/>
                <w:kern w:val="0"/>
                <w:sz w:val="24"/>
                <w:szCs w:val="24"/>
                <w:u w:val="none"/>
                <w:lang w:val="en-US" w:eastAsia="zh-CN" w:bidi="ar"/>
              </w:rPr>
              <w:t>1、材料、数据造假</w:t>
            </w:r>
          </w:p>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left"/>
              <w:textAlignment w:val="top"/>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kern w:val="0"/>
                <w:sz w:val="24"/>
                <w:szCs w:val="24"/>
                <w:u w:val="none"/>
                <w:lang w:val="en-US" w:eastAsia="zh-CN" w:bidi="ar"/>
              </w:rPr>
              <w:t>2、发现且确认有侵权现象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300" w:hRule="atLeast"/>
        </w:trPr>
        <w:tc>
          <w:tcPr>
            <w:tcW w:w="2250" w:type="dxa"/>
            <w:shd w:val="clear" w:color="auto" w:fill="FFFFFF"/>
            <w:vAlign w:val="center"/>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kern w:val="0"/>
                <w:sz w:val="24"/>
                <w:szCs w:val="24"/>
                <w:u w:val="none"/>
                <w:lang w:val="en-US" w:eastAsia="zh-CN" w:bidi="ar"/>
              </w:rPr>
              <w:t>不适合网络传播</w:t>
            </w:r>
          </w:p>
        </w:tc>
        <w:tc>
          <w:tcPr>
            <w:tcW w:w="6554" w:type="dxa"/>
            <w:shd w:val="clear" w:color="auto" w:fill="FFFFFF"/>
            <w:vAlign w:val="top"/>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left"/>
              <w:textAlignment w:val="top"/>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kern w:val="0"/>
                <w:sz w:val="24"/>
                <w:szCs w:val="24"/>
                <w:u w:val="none"/>
                <w:lang w:val="en-US" w:eastAsia="zh-CN" w:bidi="ar"/>
              </w:rPr>
              <w:t>课程内容不适合网络公开传播</w:t>
            </w:r>
          </w:p>
        </w:tc>
      </w:tr>
    </w:tbl>
    <w:p>
      <w:pPr>
        <w:pStyle w:val="2"/>
        <w:keepNext w:val="0"/>
        <w:keepLines w:val="0"/>
        <w:pageBreakBefore w:val="0"/>
        <w:kinsoku/>
        <w:wordWrap/>
        <w:overflowPunct/>
        <w:topLinePunct w:val="0"/>
        <w:autoSpaceDE w:val="0"/>
        <w:autoSpaceDN w:val="0"/>
        <w:bidi w:val="0"/>
        <w:adjustRightInd/>
        <w:snapToGrid/>
        <w:spacing w:before="0" w:line="480" w:lineRule="exact"/>
        <w:jc w:val="both"/>
        <w:textAlignment w:val="auto"/>
        <w:rPr>
          <w:rFonts w:hint="default" w:ascii="Times New Roman" w:hAnsi="Times New Roman" w:eastAsia="楷体" w:cs="Times New Roman"/>
          <w:b/>
          <w:bCs/>
          <w:sz w:val="32"/>
          <w:szCs w:val="32"/>
          <w:lang w:val="en-US" w:eastAsia="zh-Hans"/>
        </w:rPr>
      </w:pPr>
      <w:r>
        <w:rPr>
          <w:rFonts w:hint="default" w:ascii="Times New Roman" w:hAnsi="Times New Roman" w:eastAsia="楷体" w:cs="Times New Roman"/>
          <w:b/>
          <w:bCs/>
          <w:sz w:val="32"/>
          <w:szCs w:val="32"/>
          <w:lang w:val="en-US" w:eastAsia="zh-Hans"/>
        </w:rPr>
        <w:t>（二）评审指标细则</w:t>
      </w:r>
    </w:p>
    <w:tbl>
      <w:tblPr>
        <w:tblStyle w:val="6"/>
        <w:tblW w:w="87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267"/>
        <w:gridCol w:w="1290"/>
        <w:gridCol w:w="5400"/>
        <w:gridCol w:w="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270" w:hRule="atLeast"/>
        </w:trPr>
        <w:tc>
          <w:tcPr>
            <w:tcW w:w="1267" w:type="dxa"/>
            <w:shd w:val="clear" w:color="auto" w:fill="FFFFFF"/>
            <w:vAlign w:val="top"/>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auto"/>
                <w:kern w:val="0"/>
                <w:sz w:val="24"/>
                <w:szCs w:val="24"/>
                <w:u w:val="none"/>
                <w:lang w:val="en-US" w:eastAsia="zh-CN" w:bidi="ar"/>
              </w:rPr>
            </w:pPr>
            <w:r>
              <w:rPr>
                <w:rFonts w:hint="default" w:ascii="Times New Roman" w:hAnsi="Times New Roman" w:cs="Times New Roman" w:eastAsiaTheme="minorEastAsia"/>
                <w:b/>
                <w:bCs/>
                <w:i w:val="0"/>
                <w:color w:val="auto"/>
                <w:kern w:val="0"/>
                <w:sz w:val="24"/>
                <w:szCs w:val="24"/>
                <w:u w:val="none"/>
                <w:lang w:val="en-US" w:eastAsia="zh-CN" w:bidi="ar"/>
              </w:rPr>
              <w:t>一级指标</w:t>
            </w:r>
          </w:p>
        </w:tc>
        <w:tc>
          <w:tcPr>
            <w:tcW w:w="1290" w:type="dxa"/>
            <w:shd w:val="clear" w:color="auto" w:fill="FFFFFF"/>
            <w:vAlign w:val="top"/>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auto"/>
                <w:kern w:val="0"/>
                <w:sz w:val="24"/>
                <w:szCs w:val="24"/>
                <w:u w:val="none"/>
                <w:lang w:val="en-US" w:eastAsia="zh-CN" w:bidi="ar"/>
              </w:rPr>
            </w:pPr>
            <w:r>
              <w:rPr>
                <w:rFonts w:hint="default" w:ascii="Times New Roman" w:hAnsi="Times New Roman" w:cs="Times New Roman" w:eastAsiaTheme="minorEastAsia"/>
                <w:b/>
                <w:bCs/>
                <w:i w:val="0"/>
                <w:color w:val="auto"/>
                <w:kern w:val="0"/>
                <w:sz w:val="24"/>
                <w:szCs w:val="24"/>
                <w:u w:val="none"/>
                <w:lang w:val="en-US" w:eastAsia="zh-CN" w:bidi="ar"/>
              </w:rPr>
              <w:t>二级指标</w:t>
            </w:r>
          </w:p>
        </w:tc>
        <w:tc>
          <w:tcPr>
            <w:tcW w:w="5400" w:type="dxa"/>
            <w:shd w:val="clear" w:color="auto" w:fill="FFFFFF"/>
            <w:vAlign w:val="top"/>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auto"/>
                <w:kern w:val="0"/>
                <w:sz w:val="24"/>
                <w:szCs w:val="24"/>
                <w:u w:val="none"/>
                <w:lang w:val="en-US" w:eastAsia="zh-CN" w:bidi="ar"/>
              </w:rPr>
            </w:pPr>
            <w:r>
              <w:rPr>
                <w:rFonts w:hint="default" w:ascii="Times New Roman" w:hAnsi="Times New Roman" w:cs="Times New Roman" w:eastAsiaTheme="minorEastAsia"/>
                <w:b/>
                <w:bCs/>
                <w:i w:val="0"/>
                <w:color w:val="auto"/>
                <w:kern w:val="0"/>
                <w:sz w:val="24"/>
                <w:szCs w:val="24"/>
                <w:u w:val="none"/>
                <w:lang w:val="en-US" w:eastAsia="zh-CN" w:bidi="ar"/>
              </w:rPr>
              <w:t>观测点及描述</w:t>
            </w:r>
          </w:p>
        </w:tc>
        <w:tc>
          <w:tcPr>
            <w:tcW w:w="831" w:type="dxa"/>
            <w:shd w:val="clear" w:color="auto" w:fill="FFFFFF"/>
            <w:vAlign w:val="top"/>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auto"/>
                <w:kern w:val="0"/>
                <w:sz w:val="24"/>
                <w:szCs w:val="24"/>
                <w:u w:val="none"/>
                <w:lang w:val="en-US" w:eastAsia="zh-CN" w:bidi="ar"/>
              </w:rPr>
            </w:pPr>
            <w:r>
              <w:rPr>
                <w:rFonts w:hint="default" w:ascii="Times New Roman" w:hAnsi="Times New Roman" w:cs="Times New Roman" w:eastAsiaTheme="minorEastAsia"/>
                <w:b/>
                <w:bCs/>
                <w:i w:val="0"/>
                <w:color w:val="auto"/>
                <w:kern w:val="0"/>
                <w:sz w:val="24"/>
                <w:szCs w:val="24"/>
                <w:u w:val="none"/>
                <w:lang w:val="en-US" w:eastAsia="zh-CN" w:bidi="ar"/>
              </w:rPr>
              <w:t>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935" w:hRule="atLeast"/>
        </w:trPr>
        <w:tc>
          <w:tcPr>
            <w:tcW w:w="1267" w:type="dxa"/>
            <w:vMerge w:val="restart"/>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lang w:val="en-US" w:eastAsia="zh-CN"/>
              </w:rPr>
            </w:pPr>
            <w:r>
              <w:rPr>
                <w:rFonts w:hint="default" w:ascii="Times New Roman" w:hAnsi="Times New Roman" w:cs="Times New Roman" w:eastAsiaTheme="minorEastAsia"/>
                <w:i w:val="0"/>
                <w:color w:val="auto"/>
                <w:sz w:val="24"/>
                <w:szCs w:val="24"/>
                <w:u w:val="none"/>
                <w:lang w:val="en-US" w:eastAsia="zh-CN"/>
              </w:rPr>
              <w:t>一、</w:t>
            </w:r>
          </w:p>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课程内容 20分</w:t>
            </w:r>
          </w:p>
        </w:tc>
        <w:tc>
          <w:tcPr>
            <w:tcW w:w="129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1-1规范性</w:t>
            </w:r>
          </w:p>
        </w:tc>
        <w:tc>
          <w:tcPr>
            <w:tcW w:w="540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课程内容为高校教学内容，符合《普通高等学校本科专业类教学质量国家标准》等要求，课程定位准确，教学内容质量高；课程知识体系科学完整。（若课程内容不规范，不适合列入高校人才培养方案的，此项为0分。）</w:t>
            </w:r>
          </w:p>
        </w:tc>
        <w:tc>
          <w:tcPr>
            <w:tcW w:w="831"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center"/>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3045" w:hRule="atLeast"/>
        </w:trPr>
        <w:tc>
          <w:tcPr>
            <w:tcW w:w="1267" w:type="dxa"/>
            <w:vMerge w:val="continue"/>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p>
        </w:tc>
        <w:tc>
          <w:tcPr>
            <w:tcW w:w="129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lang w:val="en-US" w:eastAsia="zh-CN"/>
              </w:rPr>
            </w:pPr>
            <w:r>
              <w:rPr>
                <w:rFonts w:hint="default" w:ascii="Times New Roman" w:hAnsi="Times New Roman" w:cs="Times New Roman" w:eastAsiaTheme="minorEastAsia"/>
                <w:i w:val="0"/>
                <w:color w:val="auto"/>
                <w:sz w:val="24"/>
                <w:szCs w:val="24"/>
                <w:u w:val="none"/>
                <w:lang w:val="en-US" w:eastAsia="zh-CN"/>
              </w:rPr>
              <w:t>1-2</w:t>
            </w:r>
          </w:p>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思想性、科学性、先进性</w:t>
            </w:r>
          </w:p>
        </w:tc>
        <w:tc>
          <w:tcPr>
            <w:tcW w:w="540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坚持立德树人，将思想政治教育内化为课程内容，弘扬社会主义核心价值观；课程内容先进、新颖，反映学科专业先进的核心理论和成果，体现教改教研成果，具有较高的科学性水平，注重运用知识解决实际问题。（若存在思想性或较严重的科学性问题，此项为0分，请在否决性指标11中勾选，直接提交，结束评审此课程为0分。）</w:t>
            </w:r>
          </w:p>
        </w:tc>
        <w:tc>
          <w:tcPr>
            <w:tcW w:w="831"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center"/>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2220" w:hRule="atLeast"/>
        </w:trPr>
        <w:tc>
          <w:tcPr>
            <w:tcW w:w="1267" w:type="dxa"/>
            <w:vMerge w:val="continue"/>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p>
        </w:tc>
        <w:tc>
          <w:tcPr>
            <w:tcW w:w="129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lang w:val="en-US" w:eastAsia="zh-CN"/>
              </w:rPr>
            </w:pPr>
            <w:r>
              <w:rPr>
                <w:rFonts w:hint="default" w:ascii="Times New Roman" w:hAnsi="Times New Roman" w:cs="Times New Roman" w:eastAsiaTheme="minorEastAsia"/>
                <w:i w:val="0"/>
                <w:color w:val="auto"/>
                <w:sz w:val="24"/>
                <w:szCs w:val="24"/>
                <w:u w:val="none"/>
                <w:lang w:val="en-US" w:eastAsia="zh-CN"/>
              </w:rPr>
              <w:t xml:space="preserve">1-3 </w:t>
            </w:r>
          </w:p>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安全性</w:t>
            </w:r>
          </w:p>
        </w:tc>
        <w:tc>
          <w:tcPr>
            <w:tcW w:w="540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课程无危害国家安全、涉密及其他不适宜网络公开传播的内容，无侵犯他人知识产权内容。(若存在有不适合公开的课程内容或有确凿证据证明有侵权情况，此项为0分，请在否决性指标13（14）中勾选，直接提交，结束评审，此课程为0分。）</w:t>
            </w:r>
          </w:p>
        </w:tc>
        <w:tc>
          <w:tcPr>
            <w:tcW w:w="831"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center"/>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665" w:hRule="atLeast"/>
        </w:trPr>
        <w:tc>
          <w:tcPr>
            <w:tcW w:w="1267" w:type="dxa"/>
            <w:vMerge w:val="continue"/>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p>
        </w:tc>
        <w:tc>
          <w:tcPr>
            <w:tcW w:w="129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lang w:val="en-US" w:eastAsia="zh-CN"/>
              </w:rPr>
            </w:pPr>
            <w:r>
              <w:rPr>
                <w:rFonts w:hint="default" w:ascii="Times New Roman" w:hAnsi="Times New Roman" w:cs="Times New Roman" w:eastAsiaTheme="minorEastAsia"/>
                <w:i w:val="0"/>
                <w:color w:val="auto"/>
                <w:sz w:val="24"/>
                <w:szCs w:val="24"/>
                <w:u w:val="none"/>
                <w:lang w:val="en-US" w:eastAsia="zh-CN"/>
              </w:rPr>
              <w:t xml:space="preserve">1-4 </w:t>
            </w:r>
          </w:p>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适当性、多样性</w:t>
            </w:r>
          </w:p>
        </w:tc>
        <w:tc>
          <w:tcPr>
            <w:tcW w:w="540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课程内容及教学环节配置丰富、多样，深浅度合理，内容更新和完善及时。在线考试难易度适当，有区分度。(若学分课程的内容过于浅显，或考核评判标准过低，此项为0分。）</w:t>
            </w:r>
          </w:p>
        </w:tc>
        <w:tc>
          <w:tcPr>
            <w:tcW w:w="831"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center"/>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90" w:hRule="atLeast"/>
        </w:trPr>
        <w:tc>
          <w:tcPr>
            <w:tcW w:w="1267" w:type="dxa"/>
            <w:vMerge w:val="restart"/>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lang w:val="en-US" w:eastAsia="zh-CN"/>
              </w:rPr>
            </w:pPr>
            <w:r>
              <w:rPr>
                <w:rFonts w:hint="default" w:ascii="Times New Roman" w:hAnsi="Times New Roman" w:cs="Times New Roman" w:eastAsiaTheme="minorEastAsia"/>
                <w:i w:val="0"/>
                <w:color w:val="auto"/>
                <w:sz w:val="24"/>
                <w:szCs w:val="24"/>
                <w:u w:val="none"/>
                <w:lang w:val="en-US" w:eastAsia="zh-CN"/>
              </w:rPr>
              <w:t>二、课程教学设计</w:t>
            </w:r>
          </w:p>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25分</w:t>
            </w:r>
          </w:p>
        </w:tc>
        <w:tc>
          <w:tcPr>
            <w:tcW w:w="129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lang w:val="en-US" w:eastAsia="zh-CN"/>
              </w:rPr>
            </w:pPr>
            <w:r>
              <w:rPr>
                <w:rFonts w:hint="default" w:ascii="Times New Roman" w:hAnsi="Times New Roman" w:cs="Times New Roman" w:eastAsiaTheme="minorEastAsia"/>
                <w:i w:val="0"/>
                <w:color w:val="auto"/>
                <w:sz w:val="24"/>
                <w:szCs w:val="24"/>
                <w:u w:val="none"/>
                <w:lang w:val="en-US" w:eastAsia="zh-CN"/>
              </w:rPr>
              <w:t>2-1</w:t>
            </w:r>
          </w:p>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 xml:space="preserve">合理性 </w:t>
            </w:r>
          </w:p>
        </w:tc>
        <w:tc>
          <w:tcPr>
            <w:tcW w:w="540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教学目标明确，教学方法与教学活动组织科学合理，符合教育教学规律。</w:t>
            </w:r>
          </w:p>
        </w:tc>
        <w:tc>
          <w:tcPr>
            <w:tcW w:w="831"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center"/>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2220" w:hRule="atLeast"/>
        </w:trPr>
        <w:tc>
          <w:tcPr>
            <w:tcW w:w="1267" w:type="dxa"/>
            <w:vMerge w:val="continue"/>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p>
        </w:tc>
        <w:tc>
          <w:tcPr>
            <w:tcW w:w="129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lang w:val="en-US" w:eastAsia="zh-CN"/>
              </w:rPr>
            </w:pPr>
            <w:r>
              <w:rPr>
                <w:rFonts w:hint="default" w:ascii="Times New Roman" w:hAnsi="Times New Roman" w:cs="Times New Roman" w:eastAsiaTheme="minorEastAsia"/>
                <w:i w:val="0"/>
                <w:color w:val="auto"/>
                <w:sz w:val="24"/>
                <w:szCs w:val="24"/>
                <w:u w:val="none"/>
                <w:lang w:val="en-US" w:eastAsia="zh-CN"/>
              </w:rPr>
              <w:t>2-2</w:t>
            </w:r>
          </w:p>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方向性</w:t>
            </w:r>
          </w:p>
        </w:tc>
        <w:tc>
          <w:tcPr>
            <w:tcW w:w="540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 xml:space="preserve">符合以学生为中心的课程教学改革方向，注重激发学生学习志趣和潜能，增强学生的社会责任感、创新精神和实践能力；信息技术与教育教学融合，课程应用与课程服务相融通，适合在线学习、翻转课堂以及线上线下混合式拓展性学习。 </w:t>
            </w:r>
          </w:p>
        </w:tc>
        <w:tc>
          <w:tcPr>
            <w:tcW w:w="831"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center"/>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380" w:hRule="atLeast"/>
        </w:trPr>
        <w:tc>
          <w:tcPr>
            <w:tcW w:w="1267" w:type="dxa"/>
            <w:vMerge w:val="continue"/>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p>
        </w:tc>
        <w:tc>
          <w:tcPr>
            <w:tcW w:w="129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lang w:val="en-US" w:eastAsia="zh-CN"/>
              </w:rPr>
            </w:pPr>
            <w:r>
              <w:rPr>
                <w:rFonts w:hint="default" w:ascii="Times New Roman" w:hAnsi="Times New Roman" w:cs="Times New Roman" w:eastAsiaTheme="minorEastAsia"/>
                <w:i w:val="0"/>
                <w:color w:val="auto"/>
                <w:sz w:val="24"/>
                <w:szCs w:val="24"/>
                <w:u w:val="none"/>
                <w:lang w:val="en-US" w:eastAsia="zh-CN"/>
              </w:rPr>
              <w:t>2-3</w:t>
            </w:r>
          </w:p>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创新性</w:t>
            </w:r>
          </w:p>
        </w:tc>
        <w:tc>
          <w:tcPr>
            <w:tcW w:w="540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有针对性地解决当前教育教学中存在的问题，充分利用和发挥网络教学优势，各教学环节充分、有效，满足学生的在线学习的诉求，不是传统课堂的简单翻版。</w:t>
            </w:r>
          </w:p>
        </w:tc>
        <w:tc>
          <w:tcPr>
            <w:tcW w:w="831"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center"/>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380" w:hRule="atLeast"/>
        </w:trPr>
        <w:tc>
          <w:tcPr>
            <w:tcW w:w="1267" w:type="dxa"/>
            <w:vMerge w:val="restart"/>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lang w:val="en-US" w:eastAsia="zh-CN"/>
              </w:rPr>
            </w:pPr>
            <w:r>
              <w:rPr>
                <w:rFonts w:hint="default" w:ascii="Times New Roman" w:hAnsi="Times New Roman" w:cs="Times New Roman" w:eastAsiaTheme="minorEastAsia"/>
                <w:i w:val="0"/>
                <w:color w:val="auto"/>
                <w:sz w:val="24"/>
                <w:szCs w:val="24"/>
                <w:u w:val="none"/>
                <w:lang w:val="en-US" w:eastAsia="zh-CN"/>
              </w:rPr>
              <w:t>三、</w:t>
            </w:r>
          </w:p>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课程团队 10分</w:t>
            </w:r>
          </w:p>
        </w:tc>
        <w:tc>
          <w:tcPr>
            <w:tcW w:w="129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3-1 负责人</w:t>
            </w:r>
          </w:p>
        </w:tc>
        <w:tc>
          <w:tcPr>
            <w:tcW w:w="540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在本课程专业领域有较高学术造诣，教学经验丰富，教学水平高，在推进基于慕课的信息技术与教育教学深度融合的课程改革中投入精力大，有一定影响度。</w:t>
            </w:r>
          </w:p>
        </w:tc>
        <w:tc>
          <w:tcPr>
            <w:tcW w:w="831"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center"/>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90" w:hRule="atLeast"/>
        </w:trPr>
        <w:tc>
          <w:tcPr>
            <w:tcW w:w="1267" w:type="dxa"/>
            <w:vMerge w:val="continue"/>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p>
        </w:tc>
        <w:tc>
          <w:tcPr>
            <w:tcW w:w="129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 xml:space="preserve">3-2 团队 </w:t>
            </w:r>
          </w:p>
        </w:tc>
        <w:tc>
          <w:tcPr>
            <w:tcW w:w="540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 xml:space="preserve">主讲教师师德好、教学能力强，教学表现力强，课程团 队结构合理。 </w:t>
            </w:r>
          </w:p>
        </w:tc>
        <w:tc>
          <w:tcPr>
            <w:tcW w:w="831"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center"/>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50" w:hRule="atLeast"/>
        </w:trPr>
        <w:tc>
          <w:tcPr>
            <w:tcW w:w="1267" w:type="dxa"/>
            <w:vMerge w:val="restart"/>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lang w:val="en-US" w:eastAsia="zh-CN"/>
              </w:rPr>
            </w:pPr>
            <w:r>
              <w:rPr>
                <w:rFonts w:hint="default" w:ascii="Times New Roman" w:hAnsi="Times New Roman" w:cs="Times New Roman" w:eastAsiaTheme="minorEastAsia"/>
                <w:i w:val="0"/>
                <w:color w:val="auto"/>
                <w:sz w:val="24"/>
                <w:szCs w:val="24"/>
                <w:u w:val="none"/>
                <w:lang w:val="en-US" w:eastAsia="zh-CN"/>
              </w:rPr>
              <w:t>四、</w:t>
            </w:r>
          </w:p>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lang w:val="en-US" w:eastAsia="zh-CN"/>
              </w:rPr>
            </w:pPr>
            <w:r>
              <w:rPr>
                <w:rFonts w:hint="default" w:ascii="Times New Roman" w:hAnsi="Times New Roman" w:cs="Times New Roman" w:eastAsiaTheme="minorEastAsia"/>
                <w:i w:val="0"/>
                <w:color w:val="auto"/>
                <w:sz w:val="24"/>
                <w:szCs w:val="24"/>
                <w:u w:val="none"/>
                <w:lang w:val="en-US" w:eastAsia="zh-CN"/>
              </w:rPr>
              <w:t>教学支持</w:t>
            </w:r>
          </w:p>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20分</w:t>
            </w:r>
          </w:p>
        </w:tc>
        <w:tc>
          <w:tcPr>
            <w:tcW w:w="129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lang w:val="en-US" w:eastAsia="zh-CN"/>
              </w:rPr>
            </w:pPr>
            <w:r>
              <w:rPr>
                <w:rFonts w:hint="default" w:ascii="Times New Roman" w:hAnsi="Times New Roman" w:cs="Times New Roman" w:eastAsiaTheme="minorEastAsia"/>
                <w:i w:val="0"/>
                <w:color w:val="auto"/>
                <w:sz w:val="24"/>
                <w:szCs w:val="24"/>
                <w:u w:val="none"/>
                <w:lang w:val="en-US" w:eastAsia="zh-CN"/>
              </w:rPr>
              <w:t xml:space="preserve">4-1 </w:t>
            </w:r>
          </w:p>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团队服务</w:t>
            </w:r>
          </w:p>
        </w:tc>
        <w:tc>
          <w:tcPr>
            <w:tcW w:w="540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lang w:val="en-US" w:eastAsia="zh-CN"/>
              </w:rPr>
            </w:pPr>
            <w:r>
              <w:rPr>
                <w:rFonts w:hint="default" w:ascii="Times New Roman" w:hAnsi="Times New Roman" w:cs="Times New Roman" w:eastAsiaTheme="minorEastAsia"/>
                <w:i w:val="0"/>
                <w:color w:val="auto"/>
                <w:sz w:val="24"/>
                <w:szCs w:val="24"/>
                <w:u w:val="none"/>
                <w:lang w:val="en-US" w:eastAsia="zh-CN"/>
              </w:rPr>
              <w:t>通过课程平台，教师按照教学计划和要求为学习者提供测验、作业、考试、答疑、讨论等教学活动，及时开展 有效的在线指导与测评。</w:t>
            </w:r>
          </w:p>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（若教学团队成员未参与学习者答疑、讨论等教学活动，此项为0分。）</w:t>
            </w:r>
          </w:p>
        </w:tc>
        <w:tc>
          <w:tcPr>
            <w:tcW w:w="831"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center"/>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20" w:hRule="atLeast"/>
        </w:trPr>
        <w:tc>
          <w:tcPr>
            <w:tcW w:w="1267" w:type="dxa"/>
            <w:vMerge w:val="continue"/>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p>
        </w:tc>
        <w:tc>
          <w:tcPr>
            <w:tcW w:w="129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lang w:val="en-US" w:eastAsia="zh-CN"/>
              </w:rPr>
            </w:pPr>
            <w:r>
              <w:rPr>
                <w:rFonts w:hint="default" w:ascii="Times New Roman" w:hAnsi="Times New Roman" w:cs="Times New Roman" w:eastAsiaTheme="minorEastAsia"/>
                <w:i w:val="0"/>
                <w:color w:val="auto"/>
                <w:sz w:val="24"/>
                <w:szCs w:val="24"/>
                <w:u w:val="none"/>
                <w:lang w:val="en-US" w:eastAsia="zh-CN"/>
              </w:rPr>
              <w:t xml:space="preserve">4-2 </w:t>
            </w:r>
          </w:p>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学习者活动</w:t>
            </w:r>
          </w:p>
        </w:tc>
        <w:tc>
          <w:tcPr>
            <w:tcW w:w="540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学习者在线学习响应度高，师生互动活跃。</w:t>
            </w:r>
          </w:p>
        </w:tc>
        <w:tc>
          <w:tcPr>
            <w:tcW w:w="831"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center"/>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20" w:hRule="atLeast"/>
        </w:trPr>
        <w:tc>
          <w:tcPr>
            <w:tcW w:w="1267" w:type="dxa"/>
            <w:vMerge w:val="restart"/>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lang w:val="en-US" w:eastAsia="zh-CN"/>
              </w:rPr>
            </w:pPr>
            <w:r>
              <w:rPr>
                <w:rFonts w:hint="default" w:ascii="Times New Roman" w:hAnsi="Times New Roman" w:cs="Times New Roman" w:eastAsiaTheme="minorEastAsia"/>
                <w:i w:val="0"/>
                <w:color w:val="auto"/>
                <w:sz w:val="24"/>
                <w:szCs w:val="24"/>
                <w:u w:val="none"/>
                <w:lang w:val="en-US" w:eastAsia="zh-CN"/>
              </w:rPr>
              <w:t>五、</w:t>
            </w:r>
          </w:p>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应用效果与影响 25分</w:t>
            </w:r>
          </w:p>
        </w:tc>
        <w:tc>
          <w:tcPr>
            <w:tcW w:w="129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5-1开放性</w:t>
            </w:r>
          </w:p>
        </w:tc>
        <w:tc>
          <w:tcPr>
            <w:tcW w:w="540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面向其他高校和社会学习者开放学习程度高。</w:t>
            </w:r>
          </w:p>
        </w:tc>
        <w:tc>
          <w:tcPr>
            <w:tcW w:w="831"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center"/>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20" w:hRule="atLeast"/>
        </w:trPr>
        <w:tc>
          <w:tcPr>
            <w:tcW w:w="1267" w:type="dxa"/>
            <w:vMerge w:val="continue"/>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p>
        </w:tc>
        <w:tc>
          <w:tcPr>
            <w:tcW w:w="1290" w:type="dxa"/>
            <w:vMerge w:val="restart"/>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5-2课程本校应用情况</w:t>
            </w:r>
          </w:p>
        </w:tc>
        <w:tc>
          <w:tcPr>
            <w:tcW w:w="540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在本校将在线课程与课堂教学结合，推动教</w:t>
            </w:r>
          </w:p>
        </w:tc>
        <w:tc>
          <w:tcPr>
            <w:tcW w:w="831" w:type="dxa"/>
            <w:vMerge w:val="restart"/>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center"/>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55" w:hRule="atLeast"/>
        </w:trPr>
        <w:tc>
          <w:tcPr>
            <w:tcW w:w="1267" w:type="dxa"/>
            <w:vMerge w:val="continue"/>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p>
        </w:tc>
        <w:tc>
          <w:tcPr>
            <w:tcW w:w="1290" w:type="dxa"/>
            <w:vMerge w:val="continue"/>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p>
        </w:tc>
        <w:tc>
          <w:tcPr>
            <w:tcW w:w="540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lang w:val="en-US" w:eastAsia="zh-CN"/>
              </w:rPr>
            </w:pPr>
            <w:r>
              <w:rPr>
                <w:rFonts w:hint="default" w:ascii="Times New Roman" w:hAnsi="Times New Roman" w:cs="Times New Roman" w:eastAsiaTheme="minorEastAsia"/>
                <w:i w:val="0"/>
                <w:color w:val="auto"/>
                <w:sz w:val="24"/>
                <w:szCs w:val="24"/>
                <w:u w:val="none"/>
                <w:lang w:val="en-US" w:eastAsia="zh-CN"/>
              </w:rPr>
              <w:t>学方法改革，有效提高教学质量。</w:t>
            </w:r>
          </w:p>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（若未应 用于本校课程改革，此项为0分。）</w:t>
            </w:r>
          </w:p>
        </w:tc>
        <w:tc>
          <w:tcPr>
            <w:tcW w:w="831" w:type="dxa"/>
            <w:vMerge w:val="continue"/>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center"/>
              <w:outlineLvl w:val="9"/>
              <w:rPr>
                <w:rFonts w:hint="default" w:ascii="Times New Roman" w:hAnsi="Times New Roman" w:cs="Times New Roman" w:eastAsiaTheme="minorEastAsia"/>
                <w:i w:val="0"/>
                <w:color w:val="auto"/>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170" w:hRule="atLeast"/>
        </w:trPr>
        <w:tc>
          <w:tcPr>
            <w:tcW w:w="1267" w:type="dxa"/>
            <w:vMerge w:val="continue"/>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p>
        </w:tc>
        <w:tc>
          <w:tcPr>
            <w:tcW w:w="1290"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both"/>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5-3 在其他高校和社会学习者中应 用共享情况</w:t>
            </w:r>
          </w:p>
        </w:tc>
        <w:tc>
          <w:tcPr>
            <w:tcW w:w="5400" w:type="dxa"/>
            <w:shd w:val="clear" w:color="auto" w:fill="FFFFFF"/>
            <w:vAlign w:val="center"/>
          </w:tcPr>
          <w:p>
            <w:pPr>
              <w:keepNext w:val="0"/>
              <w:keepLines w:val="0"/>
              <w:pageBreakBefore w:val="0"/>
              <w:widowControl/>
              <w:kinsoku/>
              <w:wordWrap/>
              <w:overflowPunct/>
              <w:topLinePunct w:val="0"/>
              <w:autoSpaceDE w:val="0"/>
              <w:autoSpaceDN w:val="0"/>
              <w:bidi w:val="0"/>
              <w:adjustRightInd/>
              <w:snapToGrid/>
              <w:spacing w:before="0" w:after="0" w:line="400" w:lineRule="exact"/>
              <w:ind w:left="0" w:leftChars="0" w:right="0" w:rightChars="0" w:firstLine="0" w:firstLineChars="0"/>
              <w:jc w:val="both"/>
              <w:outlineLvl w:val="9"/>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sz w:val="24"/>
                <w:szCs w:val="24"/>
                <w:u w:val="none"/>
                <w:lang w:val="en-US" w:eastAsia="zh-CN"/>
              </w:rPr>
              <w:t>共享范围广，应用模式多样，应用效果好，社</w:t>
            </w:r>
            <w:r>
              <w:rPr>
                <w:rFonts w:hint="default" w:ascii="Times New Roman" w:hAnsi="Times New Roman" w:eastAsia="宋体" w:cs="Times New Roman"/>
                <w:i w:val="0"/>
                <w:color w:val="auto"/>
                <w:kern w:val="0"/>
                <w:sz w:val="24"/>
                <w:szCs w:val="24"/>
                <w:u w:val="none"/>
                <w:lang w:val="en-US" w:eastAsia="zh-CN" w:bidi="ar"/>
              </w:rPr>
              <w:t>会影响力大，受益教师和学习者反馈、评价高。</w:t>
            </w:r>
          </w:p>
        </w:tc>
        <w:tc>
          <w:tcPr>
            <w:tcW w:w="831" w:type="dxa"/>
            <w:shd w:val="clear" w:color="auto" w:fill="FFFFFF"/>
            <w:vAlign w:val="center"/>
          </w:tcPr>
          <w:p>
            <w:pPr>
              <w:keepNext w:val="0"/>
              <w:keepLines w:val="0"/>
              <w:pageBreakBefore w:val="0"/>
              <w:widowControl/>
              <w:kinsoku/>
              <w:wordWrap/>
              <w:overflowPunct/>
              <w:topLinePunct w:val="0"/>
              <w:bidi w:val="0"/>
              <w:adjustRightInd/>
              <w:snapToGrid/>
              <w:spacing w:before="0" w:beforeLines="0" w:after="0" w:afterLines="0" w:line="400" w:lineRule="exact"/>
              <w:ind w:left="0" w:leftChars="0" w:right="0" w:rightChars="0" w:firstLine="0" w:firstLineChars="0"/>
              <w:jc w:val="center"/>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15分</w:t>
            </w:r>
          </w:p>
        </w:tc>
      </w:tr>
    </w:tbl>
    <w:p>
      <w:pPr>
        <w:pStyle w:val="2"/>
        <w:keepNext w:val="0"/>
        <w:keepLines w:val="0"/>
        <w:pageBreakBefore w:val="0"/>
        <w:kinsoku/>
        <w:wordWrap/>
        <w:overflowPunct/>
        <w:topLinePunct w:val="0"/>
        <w:autoSpaceDE w:val="0"/>
        <w:autoSpaceDN w:val="0"/>
        <w:bidi w:val="0"/>
        <w:adjustRightInd/>
        <w:snapToGrid/>
        <w:spacing w:before="0" w:line="480" w:lineRule="exact"/>
        <w:jc w:val="left"/>
        <w:textAlignment w:val="auto"/>
        <w:rPr>
          <w:rFonts w:hint="default" w:ascii="Times New Roman" w:hAnsi="Times New Roman" w:eastAsia="黑体" w:cs="Times New Roman"/>
          <w:b/>
          <w:bCs/>
          <w:sz w:val="32"/>
          <w:szCs w:val="32"/>
          <w:lang w:val="en-US" w:eastAsia="zh-Hans"/>
        </w:rPr>
      </w:pPr>
      <w:r>
        <w:rPr>
          <w:rFonts w:hint="default" w:ascii="Times New Roman" w:hAnsi="Times New Roman" w:eastAsia="黑体" w:cs="Times New Roman"/>
          <w:b/>
          <w:bCs/>
          <w:sz w:val="32"/>
          <w:szCs w:val="32"/>
          <w:lang w:val="en-US" w:eastAsia="zh-Hans"/>
        </w:rPr>
        <w:t>二、线下一流课程评审指标</w:t>
      </w:r>
    </w:p>
    <w:p>
      <w:pPr>
        <w:pStyle w:val="2"/>
        <w:keepNext w:val="0"/>
        <w:keepLines w:val="0"/>
        <w:pageBreakBefore w:val="0"/>
        <w:kinsoku/>
        <w:wordWrap/>
        <w:overflowPunct/>
        <w:topLinePunct w:val="0"/>
        <w:autoSpaceDE w:val="0"/>
        <w:autoSpaceDN w:val="0"/>
        <w:bidi w:val="0"/>
        <w:adjustRightInd/>
        <w:snapToGrid/>
        <w:spacing w:before="0" w:line="480" w:lineRule="exact"/>
        <w:jc w:val="both"/>
        <w:textAlignment w:val="auto"/>
        <w:rPr>
          <w:rFonts w:hint="default" w:ascii="Times New Roman" w:hAnsi="Times New Roman" w:eastAsia="楷体" w:cs="Times New Roman"/>
          <w:b/>
          <w:bCs/>
          <w:sz w:val="32"/>
          <w:szCs w:val="32"/>
          <w:lang w:val="en-US" w:eastAsia="zh-Hans"/>
        </w:rPr>
      </w:pPr>
      <w:r>
        <w:rPr>
          <w:rFonts w:hint="default" w:ascii="Times New Roman" w:hAnsi="Times New Roman" w:eastAsia="楷体" w:cs="Times New Roman"/>
          <w:b/>
          <w:bCs/>
          <w:sz w:val="32"/>
          <w:szCs w:val="32"/>
          <w:lang w:val="en-US" w:eastAsia="zh-Hans"/>
        </w:rPr>
        <w:t>（一）否决性指标</w:t>
      </w:r>
    </w:p>
    <w:tbl>
      <w:tblPr>
        <w:tblStyle w:val="6"/>
        <w:tblW w:w="87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2152"/>
        <w:gridCol w:w="6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2152" w:type="dxa"/>
            <w:shd w:val="clear" w:color="auto" w:fill="FFFFFF"/>
            <w:vAlign w:val="top"/>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333333"/>
                <w:kern w:val="0"/>
                <w:sz w:val="24"/>
                <w:szCs w:val="24"/>
                <w:u w:val="none"/>
                <w:lang w:val="en-US" w:eastAsia="zh-CN" w:bidi="ar"/>
              </w:rPr>
            </w:pPr>
            <w:r>
              <w:rPr>
                <w:rFonts w:hint="default" w:ascii="Times New Roman" w:hAnsi="Times New Roman" w:cs="Times New Roman" w:eastAsiaTheme="minorEastAsia"/>
                <w:b/>
                <w:bCs/>
                <w:i w:val="0"/>
                <w:color w:val="333333"/>
                <w:kern w:val="0"/>
                <w:sz w:val="24"/>
                <w:szCs w:val="24"/>
                <w:u w:val="none"/>
                <w:lang w:val="en-US" w:eastAsia="zh-CN" w:bidi="ar"/>
              </w:rPr>
              <w:t>项</w:t>
            </w:r>
          </w:p>
        </w:tc>
        <w:tc>
          <w:tcPr>
            <w:tcW w:w="6615" w:type="dxa"/>
            <w:shd w:val="clear" w:color="auto" w:fill="FFFFFF"/>
            <w:vAlign w:val="top"/>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333333"/>
                <w:kern w:val="0"/>
                <w:sz w:val="24"/>
                <w:szCs w:val="24"/>
                <w:u w:val="none"/>
                <w:lang w:val="en-US" w:eastAsia="zh-CN" w:bidi="ar"/>
              </w:rPr>
            </w:pPr>
            <w:r>
              <w:rPr>
                <w:rFonts w:hint="default" w:ascii="Times New Roman" w:hAnsi="Times New Roman" w:cs="Times New Roman" w:eastAsiaTheme="minorEastAsia"/>
                <w:b/>
                <w:bCs/>
                <w:i w:val="0"/>
                <w:color w:val="333333"/>
                <w:kern w:val="0"/>
                <w:sz w:val="24"/>
                <w:szCs w:val="24"/>
                <w:u w:val="none"/>
                <w:lang w:val="en-US" w:eastAsia="zh-CN" w:bidi="ar"/>
              </w:rPr>
              <w:t>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2320" w:hRule="atLeast"/>
        </w:trPr>
        <w:tc>
          <w:tcPr>
            <w:tcW w:w="2152" w:type="dxa"/>
            <w:vMerge w:val="restart"/>
            <w:shd w:val="clear" w:color="auto" w:fill="FFFFFF"/>
            <w:vAlign w:val="center"/>
          </w:tcPr>
          <w:p>
            <w:pPr>
              <w:keepNext w:val="0"/>
              <w:keepLines w:val="0"/>
              <w:pageBreakBefore w:val="0"/>
              <w:widowControl/>
              <w:suppressLineNumbers w:val="0"/>
              <w:kinsoku/>
              <w:wordWrap/>
              <w:overflowPunct/>
              <w:topLinePunct w:val="0"/>
              <w:autoSpaceDE w:val="0"/>
              <w:autoSpaceDN w:val="0"/>
              <w:bidi w:val="0"/>
              <w:adjustRightInd/>
              <w:snapToGrid/>
              <w:spacing w:line="400" w:lineRule="exact"/>
              <w:ind w:left="0" w:leftChars="0" w:right="0" w:rightChars="0" w:firstLine="0" w:firstLineChars="0"/>
              <w:jc w:val="center"/>
              <w:textAlignment w:val="top"/>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bidi="ar"/>
              </w:rPr>
              <w:t>课程资质</w:t>
            </w:r>
          </w:p>
        </w:tc>
        <w:tc>
          <w:tcPr>
            <w:tcW w:w="6615" w:type="dxa"/>
            <w:shd w:val="clear" w:color="auto" w:fill="FFFFFF"/>
            <w:vAlign w:val="center"/>
          </w:tcPr>
          <w:p>
            <w:pPr>
              <w:keepNext w:val="0"/>
              <w:keepLines w:val="0"/>
              <w:pageBreakBefore w:val="0"/>
              <w:widowControl/>
              <w:suppressLineNumbers w:val="0"/>
              <w:kinsoku/>
              <w:wordWrap/>
              <w:overflowPunct/>
              <w:topLinePunct w:val="0"/>
              <w:autoSpaceDE w:val="0"/>
              <w:autoSpaceDN w:val="0"/>
              <w:bidi w:val="0"/>
              <w:adjustRightInd/>
              <w:snapToGrid/>
              <w:spacing w:line="400" w:lineRule="exact"/>
              <w:jc w:val="both"/>
              <w:textAlignment w:val="top"/>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i w:val="0"/>
                <w:color w:val="auto"/>
                <w:kern w:val="0"/>
                <w:sz w:val="24"/>
                <w:szCs w:val="24"/>
                <w:u w:val="none"/>
                <w:lang w:val="en-US" w:eastAsia="zh-CN" w:bidi="ar"/>
              </w:rPr>
              <w:t>1、非本科学分课程查看教务系统提供的截图</w:t>
            </w:r>
          </w:p>
          <w:p>
            <w:pPr>
              <w:keepNext w:val="0"/>
              <w:keepLines w:val="0"/>
              <w:pageBreakBefore w:val="0"/>
              <w:widowControl/>
              <w:suppressLineNumbers w:val="0"/>
              <w:kinsoku/>
              <w:wordWrap/>
              <w:overflowPunct/>
              <w:topLinePunct w:val="0"/>
              <w:autoSpaceDE w:val="0"/>
              <w:autoSpaceDN w:val="0"/>
              <w:bidi w:val="0"/>
              <w:adjustRightInd/>
              <w:snapToGrid/>
              <w:spacing w:line="400" w:lineRule="exact"/>
              <w:jc w:val="both"/>
              <w:textAlignment w:val="top"/>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bidi="ar"/>
              </w:rPr>
              <w:t>2、开设时间或期数不符合申报要求申报截止日期前未完成至少两个完整的教学学期或周期（查教务系统截图）</w:t>
            </w:r>
          </w:p>
          <w:p>
            <w:pPr>
              <w:keepNext w:val="0"/>
              <w:keepLines w:val="0"/>
              <w:pageBreakBefore w:val="0"/>
              <w:widowControl/>
              <w:suppressLineNumbers w:val="0"/>
              <w:kinsoku/>
              <w:wordWrap/>
              <w:overflowPunct/>
              <w:topLinePunct w:val="0"/>
              <w:autoSpaceDE w:val="0"/>
              <w:autoSpaceDN w:val="0"/>
              <w:bidi w:val="0"/>
              <w:adjustRightInd/>
              <w:snapToGrid/>
              <w:spacing w:line="400" w:lineRule="exact"/>
              <w:jc w:val="both"/>
              <w:textAlignment w:val="top"/>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bidi="ar"/>
              </w:rPr>
              <w:t>3、课程基本信息有明显不一致重点对比与教务系统截图是否一致：课程名称、授课教师、学时，查看有关说明材料。</w:t>
            </w:r>
          </w:p>
          <w:p>
            <w:pPr>
              <w:keepNext w:val="0"/>
              <w:keepLines w:val="0"/>
              <w:pageBreakBefore w:val="0"/>
              <w:widowControl/>
              <w:suppressLineNumbers w:val="0"/>
              <w:kinsoku/>
              <w:wordWrap/>
              <w:overflowPunct/>
              <w:topLinePunct w:val="0"/>
              <w:autoSpaceDE w:val="0"/>
              <w:autoSpaceDN w:val="0"/>
              <w:bidi w:val="0"/>
              <w:adjustRightInd/>
              <w:snapToGrid/>
              <w:spacing w:line="400" w:lineRule="exact"/>
              <w:jc w:val="both"/>
              <w:textAlignment w:val="top"/>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bidi="ar"/>
              </w:rPr>
              <w:t>4、申报材料不齐备，缺少必须提供的关键材料</w:t>
            </w:r>
            <w:r>
              <w:rPr>
                <w:rFonts w:hint="default" w:ascii="Times New Roman" w:hAnsi="Times New Roman" w:cs="Times New Roman"/>
                <w:i w:val="0"/>
                <w:color w:val="auto"/>
                <w:kern w:val="0"/>
                <w:sz w:val="24"/>
                <w:szCs w:val="24"/>
                <w:u w:val="none"/>
                <w:lang w:val="en-US" w:eastAsia="zh-CN" w:bidi="ar"/>
              </w:rPr>
              <w:t>，</w:t>
            </w:r>
            <w:r>
              <w:rPr>
                <w:rFonts w:hint="default" w:ascii="Times New Roman" w:hAnsi="Times New Roman" w:eastAsia="宋体" w:cs="Times New Roman"/>
                <w:i w:val="0"/>
                <w:color w:val="auto"/>
                <w:kern w:val="0"/>
                <w:sz w:val="24"/>
                <w:szCs w:val="24"/>
                <w:u w:val="none"/>
                <w:lang w:val="en-US" w:eastAsia="zh-CN" w:bidi="ar"/>
              </w:rPr>
              <w:t>查看是否缺少申报书中的“七、附件材料清单中的1-5项”的某项材料。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65" w:hRule="atLeast"/>
        </w:trPr>
        <w:tc>
          <w:tcPr>
            <w:tcW w:w="2152" w:type="dxa"/>
            <w:vMerge w:val="restart"/>
            <w:shd w:val="clear" w:color="auto" w:fill="FFFFFF"/>
            <w:vAlign w:val="center"/>
          </w:tcPr>
          <w:p>
            <w:pPr>
              <w:keepNext w:val="0"/>
              <w:keepLines w:val="0"/>
              <w:pageBreakBefore w:val="0"/>
              <w:widowControl/>
              <w:suppressLineNumbers w:val="0"/>
              <w:kinsoku/>
              <w:wordWrap/>
              <w:overflowPunct/>
              <w:topLinePunct w:val="0"/>
              <w:autoSpaceDE w:val="0"/>
              <w:autoSpaceDN w:val="0"/>
              <w:bidi w:val="0"/>
              <w:adjustRightInd/>
              <w:snapToGrid/>
              <w:spacing w:line="400" w:lineRule="exact"/>
              <w:ind w:left="0" w:leftChars="0" w:right="0" w:rightChars="0" w:firstLine="0" w:firstLineChars="0"/>
              <w:jc w:val="center"/>
              <w:textAlignment w:val="top"/>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bidi="ar"/>
              </w:rPr>
              <w:t>教师资格</w:t>
            </w:r>
          </w:p>
        </w:tc>
        <w:tc>
          <w:tcPr>
            <w:tcW w:w="6615" w:type="dxa"/>
            <w:shd w:val="clear" w:color="auto" w:fill="FFFFFF"/>
            <w:vAlign w:val="center"/>
          </w:tcPr>
          <w:p>
            <w:pPr>
              <w:keepNext w:val="0"/>
              <w:keepLines w:val="0"/>
              <w:pageBreakBefore w:val="0"/>
              <w:widowControl/>
              <w:suppressLineNumbers w:val="0"/>
              <w:kinsoku/>
              <w:wordWrap/>
              <w:overflowPunct/>
              <w:topLinePunct w:val="0"/>
              <w:autoSpaceDE w:val="0"/>
              <w:autoSpaceDN w:val="0"/>
              <w:bidi w:val="0"/>
              <w:adjustRightInd/>
              <w:snapToGrid/>
              <w:spacing w:line="400" w:lineRule="exact"/>
              <w:jc w:val="both"/>
              <w:textAlignment w:val="top"/>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bidi="ar"/>
              </w:rPr>
              <w:t>1、负责人非申报高校正式聘任教师查看“二、课程团队序号1的成员”及其他申报材料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0" w:hRule="atLeast"/>
        </w:trPr>
        <w:tc>
          <w:tcPr>
            <w:tcW w:w="2152" w:type="dxa"/>
            <w:vMerge w:val="continue"/>
            <w:shd w:val="clear" w:color="auto" w:fill="FFFFFF"/>
            <w:vAlign w:val="center"/>
          </w:tcPr>
          <w:p>
            <w:pPr>
              <w:keepNext w:val="0"/>
              <w:keepLines w:val="0"/>
              <w:pageBreakBefore w:val="0"/>
              <w:kinsoku/>
              <w:wordWrap/>
              <w:overflowPunct/>
              <w:topLinePunct w:val="0"/>
              <w:autoSpaceDE w:val="0"/>
              <w:autoSpaceDN w:val="0"/>
              <w:bidi w:val="0"/>
              <w:adjustRightInd/>
              <w:snapToGrid/>
              <w:spacing w:line="400" w:lineRule="exact"/>
              <w:ind w:left="0" w:leftChars="0" w:right="0" w:rightChars="0" w:firstLine="0" w:firstLineChars="0"/>
              <w:jc w:val="center"/>
              <w:rPr>
                <w:rFonts w:hint="default" w:ascii="Times New Roman" w:hAnsi="Times New Roman" w:eastAsia="宋体" w:cs="Times New Roman"/>
                <w:i w:val="0"/>
                <w:color w:val="auto"/>
                <w:sz w:val="24"/>
                <w:szCs w:val="24"/>
                <w:u w:val="none"/>
              </w:rPr>
            </w:pPr>
          </w:p>
        </w:tc>
        <w:tc>
          <w:tcPr>
            <w:tcW w:w="6615" w:type="dxa"/>
            <w:shd w:val="clear" w:color="auto" w:fill="FFFFFF"/>
            <w:vAlign w:val="center"/>
          </w:tcPr>
          <w:p>
            <w:pPr>
              <w:keepNext w:val="0"/>
              <w:keepLines w:val="0"/>
              <w:pageBreakBefore w:val="0"/>
              <w:widowControl/>
              <w:suppressLineNumbers w:val="0"/>
              <w:kinsoku/>
              <w:wordWrap/>
              <w:overflowPunct/>
              <w:topLinePunct w:val="0"/>
              <w:autoSpaceDE w:val="0"/>
              <w:autoSpaceDN w:val="0"/>
              <w:bidi w:val="0"/>
              <w:adjustRightInd/>
              <w:snapToGrid/>
              <w:spacing w:line="400" w:lineRule="exact"/>
              <w:jc w:val="both"/>
              <w:textAlignment w:val="top"/>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bidi="ar"/>
              </w:rPr>
              <w:t>2、团队成员存在师德师风方面问题查看“十、学校政治审查意见”，根据专家掌握的信息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85" w:hRule="atLeast"/>
        </w:trPr>
        <w:tc>
          <w:tcPr>
            <w:tcW w:w="2152" w:type="dxa"/>
            <w:vMerge w:val="restart"/>
            <w:shd w:val="clear" w:color="auto" w:fill="FFFFFF"/>
            <w:vAlign w:val="center"/>
          </w:tcPr>
          <w:p>
            <w:pPr>
              <w:keepNext w:val="0"/>
              <w:keepLines w:val="0"/>
              <w:pageBreakBefore w:val="0"/>
              <w:widowControl/>
              <w:suppressLineNumbers w:val="0"/>
              <w:kinsoku/>
              <w:wordWrap/>
              <w:overflowPunct/>
              <w:topLinePunct w:val="0"/>
              <w:autoSpaceDE w:val="0"/>
              <w:autoSpaceDN w:val="0"/>
              <w:bidi w:val="0"/>
              <w:adjustRightInd/>
              <w:snapToGrid/>
              <w:spacing w:line="400" w:lineRule="exact"/>
              <w:ind w:left="0" w:leftChars="0" w:right="0" w:rightChars="0" w:firstLine="0" w:firstLineChars="0"/>
              <w:jc w:val="center"/>
              <w:textAlignment w:val="top"/>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bidi="ar"/>
              </w:rPr>
              <w:t>课程内容</w:t>
            </w:r>
          </w:p>
        </w:tc>
        <w:tc>
          <w:tcPr>
            <w:tcW w:w="6615" w:type="dxa"/>
            <w:shd w:val="clear" w:color="auto" w:fill="FFFFFF"/>
            <w:vAlign w:val="center"/>
          </w:tcPr>
          <w:p>
            <w:pPr>
              <w:keepNext w:val="0"/>
              <w:keepLines w:val="0"/>
              <w:pageBreakBefore w:val="0"/>
              <w:widowControl/>
              <w:suppressLineNumbers w:val="0"/>
              <w:kinsoku/>
              <w:wordWrap/>
              <w:overflowPunct/>
              <w:topLinePunct w:val="0"/>
              <w:autoSpaceDE w:val="0"/>
              <w:autoSpaceDN w:val="0"/>
              <w:bidi w:val="0"/>
              <w:adjustRightInd/>
              <w:snapToGrid/>
              <w:spacing w:line="400" w:lineRule="exact"/>
              <w:jc w:val="both"/>
              <w:textAlignment w:val="top"/>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bidi="ar"/>
              </w:rPr>
              <w:t>1、存在思想性或较严重的科学性问题专家审查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05" w:hRule="atLeast"/>
        </w:trPr>
        <w:tc>
          <w:tcPr>
            <w:tcW w:w="2152" w:type="dxa"/>
            <w:vMerge w:val="continue"/>
            <w:shd w:val="clear" w:color="auto" w:fill="FFFFFF"/>
            <w:vAlign w:val="center"/>
          </w:tcPr>
          <w:p>
            <w:pPr>
              <w:keepNext w:val="0"/>
              <w:keepLines w:val="0"/>
              <w:pageBreakBefore w:val="0"/>
              <w:kinsoku/>
              <w:wordWrap/>
              <w:overflowPunct/>
              <w:topLinePunct w:val="0"/>
              <w:autoSpaceDE w:val="0"/>
              <w:autoSpaceDN w:val="0"/>
              <w:bidi w:val="0"/>
              <w:adjustRightInd/>
              <w:snapToGrid/>
              <w:spacing w:line="400" w:lineRule="exact"/>
              <w:ind w:left="0" w:leftChars="0" w:right="0" w:rightChars="0" w:firstLine="0" w:firstLineChars="0"/>
              <w:jc w:val="center"/>
              <w:rPr>
                <w:rFonts w:hint="default" w:ascii="Times New Roman" w:hAnsi="Times New Roman" w:eastAsia="宋体" w:cs="Times New Roman"/>
                <w:i w:val="0"/>
                <w:color w:val="auto"/>
                <w:sz w:val="24"/>
                <w:szCs w:val="24"/>
                <w:u w:val="none"/>
              </w:rPr>
            </w:pPr>
          </w:p>
        </w:tc>
        <w:tc>
          <w:tcPr>
            <w:tcW w:w="6615" w:type="dxa"/>
            <w:shd w:val="clear" w:color="auto" w:fill="FFFFFF"/>
            <w:vAlign w:val="center"/>
          </w:tcPr>
          <w:p>
            <w:pPr>
              <w:keepNext w:val="0"/>
              <w:keepLines w:val="0"/>
              <w:pageBreakBefore w:val="0"/>
              <w:widowControl/>
              <w:suppressLineNumbers w:val="0"/>
              <w:kinsoku/>
              <w:wordWrap/>
              <w:overflowPunct/>
              <w:topLinePunct w:val="0"/>
              <w:autoSpaceDE w:val="0"/>
              <w:autoSpaceDN w:val="0"/>
              <w:bidi w:val="0"/>
              <w:adjustRightInd/>
              <w:snapToGrid/>
              <w:spacing w:line="400" w:lineRule="exact"/>
              <w:jc w:val="both"/>
              <w:textAlignment w:val="top"/>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bidi="ar"/>
              </w:rPr>
              <w:t>2、申报材料无法支撑课程内容，教学无法实施专家审查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50" w:hRule="atLeast"/>
        </w:trPr>
        <w:tc>
          <w:tcPr>
            <w:tcW w:w="2152" w:type="dxa"/>
            <w:vMerge w:val="continue"/>
            <w:shd w:val="clear" w:color="auto" w:fill="FFFFFF"/>
            <w:vAlign w:val="center"/>
          </w:tcPr>
          <w:p>
            <w:pPr>
              <w:keepNext w:val="0"/>
              <w:keepLines w:val="0"/>
              <w:pageBreakBefore w:val="0"/>
              <w:kinsoku/>
              <w:wordWrap/>
              <w:overflowPunct/>
              <w:topLinePunct w:val="0"/>
              <w:autoSpaceDE w:val="0"/>
              <w:autoSpaceDN w:val="0"/>
              <w:bidi w:val="0"/>
              <w:adjustRightInd/>
              <w:snapToGrid/>
              <w:spacing w:line="400" w:lineRule="exact"/>
              <w:ind w:left="0" w:leftChars="0" w:right="0" w:rightChars="0" w:firstLine="0" w:firstLineChars="0"/>
              <w:jc w:val="center"/>
              <w:rPr>
                <w:rFonts w:hint="default" w:ascii="Times New Roman" w:hAnsi="Times New Roman" w:eastAsia="宋体" w:cs="Times New Roman"/>
                <w:i w:val="0"/>
                <w:color w:val="auto"/>
                <w:sz w:val="24"/>
                <w:szCs w:val="24"/>
                <w:u w:val="none"/>
              </w:rPr>
            </w:pPr>
          </w:p>
        </w:tc>
        <w:tc>
          <w:tcPr>
            <w:tcW w:w="6615" w:type="dxa"/>
            <w:shd w:val="clear" w:color="auto" w:fill="FFFFFF"/>
            <w:vAlign w:val="center"/>
          </w:tcPr>
          <w:p>
            <w:pPr>
              <w:keepNext w:val="0"/>
              <w:keepLines w:val="0"/>
              <w:pageBreakBefore w:val="0"/>
              <w:widowControl/>
              <w:suppressLineNumbers w:val="0"/>
              <w:kinsoku/>
              <w:wordWrap/>
              <w:overflowPunct/>
              <w:topLinePunct w:val="0"/>
              <w:autoSpaceDE w:val="0"/>
              <w:autoSpaceDN w:val="0"/>
              <w:bidi w:val="0"/>
              <w:adjustRightInd/>
              <w:snapToGrid/>
              <w:spacing w:line="400" w:lineRule="exact"/>
              <w:jc w:val="both"/>
              <w:textAlignment w:val="top"/>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bidi="ar"/>
              </w:rPr>
              <w:t>3、课程内容涉密对比提交材料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80" w:hRule="atLeast"/>
        </w:trPr>
        <w:tc>
          <w:tcPr>
            <w:tcW w:w="2152" w:type="dxa"/>
            <w:shd w:val="clear" w:color="auto" w:fill="FFFFFF"/>
            <w:vAlign w:val="center"/>
          </w:tcPr>
          <w:p>
            <w:pPr>
              <w:keepNext w:val="0"/>
              <w:keepLines w:val="0"/>
              <w:pageBreakBefore w:val="0"/>
              <w:widowControl/>
              <w:suppressLineNumbers w:val="0"/>
              <w:kinsoku/>
              <w:wordWrap/>
              <w:overflowPunct/>
              <w:topLinePunct w:val="0"/>
              <w:autoSpaceDE w:val="0"/>
              <w:autoSpaceDN w:val="0"/>
              <w:bidi w:val="0"/>
              <w:adjustRightInd/>
              <w:snapToGrid/>
              <w:spacing w:line="400" w:lineRule="exact"/>
              <w:ind w:left="0" w:leftChars="0" w:right="0" w:rightChars="0" w:firstLine="0" w:firstLineChars="0"/>
              <w:jc w:val="center"/>
              <w:textAlignment w:val="top"/>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bidi="ar"/>
              </w:rPr>
              <w:t>造假、侵权</w:t>
            </w:r>
          </w:p>
        </w:tc>
        <w:tc>
          <w:tcPr>
            <w:tcW w:w="6615" w:type="dxa"/>
            <w:shd w:val="clear" w:color="auto" w:fill="FFFFFF"/>
            <w:vAlign w:val="center"/>
          </w:tcPr>
          <w:p>
            <w:pPr>
              <w:keepNext w:val="0"/>
              <w:keepLines w:val="0"/>
              <w:pageBreakBefore w:val="0"/>
              <w:widowControl/>
              <w:suppressLineNumbers w:val="0"/>
              <w:kinsoku/>
              <w:wordWrap/>
              <w:overflowPunct/>
              <w:topLinePunct w:val="0"/>
              <w:autoSpaceDE w:val="0"/>
              <w:autoSpaceDN w:val="0"/>
              <w:bidi w:val="0"/>
              <w:adjustRightInd/>
              <w:snapToGrid/>
              <w:spacing w:line="400" w:lineRule="exact"/>
              <w:jc w:val="both"/>
              <w:textAlignment w:val="top"/>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i w:val="0"/>
                <w:color w:val="auto"/>
                <w:kern w:val="0"/>
                <w:sz w:val="24"/>
                <w:szCs w:val="24"/>
                <w:u w:val="none"/>
                <w:lang w:val="en-US" w:eastAsia="zh-CN" w:bidi="ar"/>
              </w:rPr>
              <w:t>1、申报材料造假对比提交材料，或举报属实</w:t>
            </w:r>
          </w:p>
          <w:p>
            <w:pPr>
              <w:keepNext w:val="0"/>
              <w:keepLines w:val="0"/>
              <w:pageBreakBefore w:val="0"/>
              <w:widowControl/>
              <w:suppressLineNumbers w:val="0"/>
              <w:kinsoku/>
              <w:wordWrap/>
              <w:overflowPunct/>
              <w:topLinePunct w:val="0"/>
              <w:autoSpaceDE w:val="0"/>
              <w:autoSpaceDN w:val="0"/>
              <w:bidi w:val="0"/>
              <w:adjustRightInd/>
              <w:snapToGrid/>
              <w:spacing w:line="400" w:lineRule="exact"/>
              <w:jc w:val="both"/>
              <w:textAlignment w:val="top"/>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bidi="ar"/>
              </w:rPr>
              <w:t>2、发现且确认有侵权现象对比提交材料，或举报属实</w:t>
            </w:r>
          </w:p>
        </w:tc>
      </w:tr>
    </w:tbl>
    <w:p>
      <w:pPr>
        <w:pStyle w:val="2"/>
        <w:keepNext w:val="0"/>
        <w:keepLines w:val="0"/>
        <w:pageBreakBefore w:val="0"/>
        <w:kinsoku/>
        <w:wordWrap/>
        <w:overflowPunct/>
        <w:topLinePunct w:val="0"/>
        <w:autoSpaceDE w:val="0"/>
        <w:autoSpaceDN w:val="0"/>
        <w:bidi w:val="0"/>
        <w:adjustRightInd/>
        <w:snapToGrid/>
        <w:spacing w:before="0" w:line="480" w:lineRule="exact"/>
        <w:jc w:val="both"/>
        <w:textAlignment w:val="auto"/>
        <w:rPr>
          <w:rFonts w:hint="default" w:ascii="Times New Roman" w:hAnsi="Times New Roman" w:eastAsia="楷体" w:cs="Times New Roman"/>
          <w:b/>
          <w:bCs/>
          <w:sz w:val="32"/>
          <w:szCs w:val="32"/>
          <w:lang w:val="en-US" w:eastAsia="zh-Hans"/>
        </w:rPr>
      </w:pPr>
      <w:r>
        <w:rPr>
          <w:rFonts w:hint="default" w:ascii="Times New Roman" w:hAnsi="Times New Roman" w:eastAsia="楷体" w:cs="Times New Roman"/>
          <w:b/>
          <w:bCs/>
          <w:sz w:val="32"/>
          <w:szCs w:val="32"/>
          <w:lang w:val="en-US" w:eastAsia="zh-Hans"/>
        </w:rPr>
        <w:t>（二）评审指标细则</w:t>
      </w:r>
    </w:p>
    <w:tbl>
      <w:tblPr>
        <w:tblStyle w:val="6"/>
        <w:tblW w:w="8760" w:type="dxa"/>
        <w:tblInd w:w="8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215"/>
        <w:gridCol w:w="1128"/>
        <w:gridCol w:w="5734"/>
        <w:gridCol w:w="6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215" w:type="dxa"/>
            <w:tcBorders>
              <w:top w:val="single" w:color="auto" w:sz="6" w:space="0"/>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333333"/>
                <w:kern w:val="0"/>
                <w:sz w:val="24"/>
                <w:szCs w:val="24"/>
                <w:u w:val="none"/>
                <w:lang w:val="en-US" w:eastAsia="zh-CN" w:bidi="ar"/>
              </w:rPr>
            </w:pPr>
            <w:r>
              <w:rPr>
                <w:rFonts w:hint="default" w:ascii="Times New Roman" w:hAnsi="Times New Roman" w:cs="Times New Roman" w:eastAsiaTheme="minorEastAsia"/>
                <w:b/>
                <w:bCs/>
                <w:i w:val="0"/>
                <w:color w:val="333333"/>
                <w:kern w:val="0"/>
                <w:sz w:val="24"/>
                <w:szCs w:val="24"/>
                <w:u w:val="none"/>
                <w:lang w:val="en-US" w:eastAsia="zh-CN" w:bidi="ar"/>
              </w:rPr>
              <w:t>一级指标</w:t>
            </w:r>
          </w:p>
        </w:tc>
        <w:tc>
          <w:tcPr>
            <w:tcW w:w="1128" w:type="dxa"/>
            <w:tcBorders>
              <w:top w:val="single" w:color="auto" w:sz="6" w:space="0"/>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333333"/>
                <w:kern w:val="0"/>
                <w:sz w:val="24"/>
                <w:szCs w:val="24"/>
                <w:u w:val="none"/>
                <w:lang w:val="en-US" w:eastAsia="zh-CN" w:bidi="ar"/>
              </w:rPr>
            </w:pPr>
            <w:r>
              <w:rPr>
                <w:rFonts w:hint="default" w:ascii="Times New Roman" w:hAnsi="Times New Roman" w:cs="Times New Roman" w:eastAsiaTheme="minorEastAsia"/>
                <w:b/>
                <w:bCs/>
                <w:i w:val="0"/>
                <w:color w:val="333333"/>
                <w:kern w:val="0"/>
                <w:sz w:val="24"/>
                <w:szCs w:val="24"/>
                <w:u w:val="none"/>
                <w:lang w:val="en-US" w:eastAsia="zh-CN" w:bidi="ar"/>
              </w:rPr>
              <w:t>二级指标</w:t>
            </w:r>
          </w:p>
        </w:tc>
        <w:tc>
          <w:tcPr>
            <w:tcW w:w="5734" w:type="dxa"/>
            <w:tcBorders>
              <w:top w:val="single" w:color="auto" w:sz="6" w:space="0"/>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333333"/>
                <w:kern w:val="0"/>
                <w:sz w:val="24"/>
                <w:szCs w:val="24"/>
                <w:u w:val="none"/>
                <w:lang w:val="en-US" w:eastAsia="zh-CN" w:bidi="ar"/>
              </w:rPr>
            </w:pPr>
            <w:r>
              <w:rPr>
                <w:rFonts w:hint="default" w:ascii="Times New Roman" w:hAnsi="Times New Roman" w:cs="Times New Roman" w:eastAsiaTheme="minorEastAsia"/>
                <w:b/>
                <w:bCs/>
                <w:i w:val="0"/>
                <w:color w:val="333333"/>
                <w:kern w:val="0"/>
                <w:sz w:val="24"/>
                <w:szCs w:val="24"/>
                <w:u w:val="none"/>
                <w:lang w:val="en-US" w:eastAsia="zh-CN" w:bidi="ar"/>
              </w:rPr>
              <w:t>观测点及描述</w:t>
            </w:r>
          </w:p>
        </w:tc>
        <w:tc>
          <w:tcPr>
            <w:tcW w:w="683" w:type="dxa"/>
            <w:tcBorders>
              <w:top w:val="single" w:color="auto" w:sz="6" w:space="0"/>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333333"/>
                <w:kern w:val="0"/>
                <w:sz w:val="24"/>
                <w:szCs w:val="24"/>
                <w:u w:val="none"/>
                <w:lang w:val="en-US" w:eastAsia="zh-CN" w:bidi="ar"/>
              </w:rPr>
            </w:pPr>
            <w:r>
              <w:rPr>
                <w:rFonts w:hint="default" w:ascii="Times New Roman" w:hAnsi="Times New Roman" w:cs="Times New Roman" w:eastAsiaTheme="minorEastAsia"/>
                <w:b/>
                <w:bCs/>
                <w:i w:val="0"/>
                <w:color w:val="333333"/>
                <w:kern w:val="0"/>
                <w:sz w:val="24"/>
                <w:szCs w:val="24"/>
                <w:u w:val="none"/>
                <w:lang w:val="en-US" w:eastAsia="zh-CN" w:bidi="ar"/>
              </w:rPr>
              <w:t>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75" w:hRule="atLeast"/>
        </w:trPr>
        <w:tc>
          <w:tcPr>
            <w:tcW w:w="1215" w:type="dxa"/>
            <w:vMerge w:val="restart"/>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lang w:val="en-US" w:eastAsia="zh-CN"/>
              </w:rPr>
              <w:t>一、</w:t>
            </w:r>
            <w:r>
              <w:rPr>
                <w:rFonts w:hint="default" w:ascii="Times New Roman" w:hAnsi="Times New Roman" w:cs="Times New Roman" w:eastAsiaTheme="minorEastAsia"/>
                <w:i w:val="0"/>
                <w:color w:val="auto"/>
                <w:sz w:val="24"/>
                <w:szCs w:val="24"/>
                <w:u w:val="none"/>
              </w:rPr>
              <w:t>课程目标符合新时代人才培养要求</w:t>
            </w:r>
          </w:p>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15分</w:t>
            </w:r>
          </w:p>
        </w:tc>
        <w:tc>
          <w:tcPr>
            <w:tcW w:w="1128"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1-1</w:t>
            </w:r>
          </w:p>
        </w:tc>
        <w:tc>
          <w:tcPr>
            <w:tcW w:w="5734" w:type="dxa"/>
            <w:tcBorders>
              <w:top w:val="nil"/>
              <w:left w:val="nil"/>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符合学校办学定位和人才培养目标，坚持立德树人。</w:t>
            </w:r>
          </w:p>
        </w:tc>
        <w:tc>
          <w:tcPr>
            <w:tcW w:w="683"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020" w:hRule="atLeast"/>
        </w:trPr>
        <w:tc>
          <w:tcPr>
            <w:tcW w:w="1215"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p>
        </w:tc>
        <w:tc>
          <w:tcPr>
            <w:tcW w:w="1128"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1-2</w:t>
            </w:r>
          </w:p>
        </w:tc>
        <w:tc>
          <w:tcPr>
            <w:tcW w:w="5734" w:type="dxa"/>
            <w:tcBorders>
              <w:top w:val="nil"/>
              <w:left w:val="nil"/>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坚持知识、能力、素质有机融合，注重提升课程的高阶性、突出课程的创新性、增加课程的挑战度，契合学生解决复杂问题等综合能力养成要求。</w:t>
            </w:r>
          </w:p>
        </w:tc>
        <w:tc>
          <w:tcPr>
            <w:tcW w:w="683"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260" w:hRule="atLeast"/>
        </w:trPr>
        <w:tc>
          <w:tcPr>
            <w:tcW w:w="1215"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p>
        </w:tc>
        <w:tc>
          <w:tcPr>
            <w:tcW w:w="1128"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1-3</w:t>
            </w:r>
          </w:p>
        </w:tc>
        <w:tc>
          <w:tcPr>
            <w:tcW w:w="5734" w:type="dxa"/>
            <w:tcBorders>
              <w:top w:val="nil"/>
              <w:left w:val="nil"/>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目标描述准确具体，对应国家、行业、专业需求，符合培养规律，符合校情、学情，达成路径清晰，便于考核评价。</w:t>
            </w:r>
          </w:p>
        </w:tc>
        <w:tc>
          <w:tcPr>
            <w:tcW w:w="683"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215" w:type="dxa"/>
            <w:vMerge w:val="restart"/>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二、授课教师（团队）切实投入教学改革</w:t>
            </w:r>
          </w:p>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15分</w:t>
            </w:r>
          </w:p>
        </w:tc>
        <w:tc>
          <w:tcPr>
            <w:tcW w:w="1128"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2-1</w:t>
            </w:r>
          </w:p>
        </w:tc>
        <w:tc>
          <w:tcPr>
            <w:tcW w:w="5734" w:type="dxa"/>
            <w:tcBorders>
              <w:top w:val="nil"/>
              <w:left w:val="nil"/>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秉持学生中心、产出导向、持续改进的理念。</w:t>
            </w:r>
          </w:p>
        </w:tc>
        <w:tc>
          <w:tcPr>
            <w:tcW w:w="683"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15"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p>
        </w:tc>
        <w:tc>
          <w:tcPr>
            <w:tcW w:w="1128"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2-2</w:t>
            </w:r>
          </w:p>
        </w:tc>
        <w:tc>
          <w:tcPr>
            <w:tcW w:w="5734" w:type="dxa"/>
            <w:tcBorders>
              <w:top w:val="nil"/>
              <w:left w:val="nil"/>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教学理念融入教学设计，围绕目标达成、教学内容、组织实施和多元评价需求进行整体规划，教学策略、教学方法</w:t>
            </w:r>
            <w:r>
              <w:rPr>
                <w:rFonts w:hint="default" w:ascii="Times New Roman" w:hAnsi="Times New Roman" w:cs="Times New Roman" w:eastAsiaTheme="minorEastAsia"/>
                <w:i w:val="0"/>
                <w:color w:val="auto"/>
                <w:sz w:val="24"/>
                <w:szCs w:val="24"/>
                <w:u w:val="none"/>
                <w:lang w:eastAsia="zh-CN"/>
              </w:rPr>
              <w:t>、</w:t>
            </w:r>
            <w:r>
              <w:rPr>
                <w:rFonts w:hint="default" w:ascii="Times New Roman" w:hAnsi="Times New Roman" w:cs="Times New Roman" w:eastAsiaTheme="minorEastAsia"/>
                <w:i w:val="0"/>
                <w:color w:val="auto"/>
                <w:sz w:val="24"/>
                <w:szCs w:val="24"/>
                <w:u w:val="none"/>
              </w:rPr>
              <w:t>教学过程、教学评价等设计合理。</w:t>
            </w:r>
          </w:p>
        </w:tc>
        <w:tc>
          <w:tcPr>
            <w:tcW w:w="683"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c>
          <w:tcPr>
            <w:tcW w:w="1215"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p>
        </w:tc>
        <w:tc>
          <w:tcPr>
            <w:tcW w:w="1128"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2-3</w:t>
            </w:r>
          </w:p>
        </w:tc>
        <w:tc>
          <w:tcPr>
            <w:tcW w:w="5734" w:type="dxa"/>
            <w:tcBorders>
              <w:top w:val="nil"/>
              <w:left w:val="nil"/>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教学改革意识强烈，能够主动运用新技术、新手段、新工具，创新教学方法，提高教学效率、提升教学质量，教学能力有显著提升。</w:t>
            </w:r>
          </w:p>
        </w:tc>
        <w:tc>
          <w:tcPr>
            <w:tcW w:w="683"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921" w:hRule="atLeast"/>
        </w:trPr>
        <w:tc>
          <w:tcPr>
            <w:tcW w:w="1215" w:type="dxa"/>
            <w:vMerge w:val="restart"/>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三、课程内容与时</w:t>
            </w:r>
          </w:p>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俱进</w:t>
            </w:r>
          </w:p>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20分</w:t>
            </w:r>
          </w:p>
        </w:tc>
        <w:tc>
          <w:tcPr>
            <w:tcW w:w="1128"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3-1</w:t>
            </w:r>
          </w:p>
        </w:tc>
        <w:tc>
          <w:tcPr>
            <w:tcW w:w="5734" w:type="dxa"/>
            <w:tcBorders>
              <w:top w:val="nil"/>
              <w:left w:val="nil"/>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落实课程思政建设要求，通过专业知识教育与思想政治教育的紧密融合，将价值塑造、知识传授和能力培养三者融为一体。</w:t>
            </w:r>
          </w:p>
        </w:tc>
        <w:tc>
          <w:tcPr>
            <w:tcW w:w="683"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21" w:hRule="atLeast"/>
        </w:trPr>
        <w:tc>
          <w:tcPr>
            <w:tcW w:w="1215"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p>
        </w:tc>
        <w:tc>
          <w:tcPr>
            <w:tcW w:w="1128"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3-2</w:t>
            </w:r>
          </w:p>
        </w:tc>
        <w:tc>
          <w:tcPr>
            <w:tcW w:w="5734" w:type="dxa"/>
            <w:tcBorders>
              <w:top w:val="nil"/>
              <w:left w:val="nil"/>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体现前沿性与时代性要求，反映学科专业、行业先进的核心理论和成果，聚焦新工科、新医科、新农科、新文科建设，增加体现多学科思维融合、产业技术与学科理论融合、跨专业能力融合、多学科项目实践融合内容。</w:t>
            </w:r>
          </w:p>
        </w:tc>
        <w:tc>
          <w:tcPr>
            <w:tcW w:w="683"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10分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17" w:hRule="atLeast"/>
        </w:trPr>
        <w:tc>
          <w:tcPr>
            <w:tcW w:w="1215" w:type="dxa"/>
            <w:vMerge w:val="continue"/>
            <w:tcBorders>
              <w:top w:val="nil"/>
              <w:left w:val="single" w:color="auto" w:sz="6" w:space="0"/>
              <w:bottom w:val="single" w:color="auto" w:sz="4"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p>
        </w:tc>
        <w:tc>
          <w:tcPr>
            <w:tcW w:w="1128" w:type="dxa"/>
            <w:tcBorders>
              <w:top w:val="nil"/>
              <w:left w:val="nil"/>
              <w:bottom w:val="single" w:color="auto" w:sz="4"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3-3</w:t>
            </w:r>
          </w:p>
        </w:tc>
        <w:tc>
          <w:tcPr>
            <w:tcW w:w="5734" w:type="dxa"/>
            <w:tcBorders>
              <w:top w:val="nil"/>
              <w:left w:val="nil"/>
              <w:bottom w:val="single" w:color="auto" w:sz="4" w:space="0"/>
              <w:right w:val="single" w:color="auto" w:sz="6" w:space="0"/>
            </w:tcBorders>
            <w:shd w:val="clear" w:color="auto" w:fill="FFFFFF"/>
            <w:tcMar>
              <w:left w:w="75" w:type="dxa"/>
              <w:right w:w="75" w:type="dxa"/>
            </w:tcMar>
            <w:vAlign w:val="top"/>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保障教学资源的优质性与适用性，以提升学生综合能力为重点，重塑课程内容。</w:t>
            </w:r>
          </w:p>
        </w:tc>
        <w:tc>
          <w:tcPr>
            <w:tcW w:w="683" w:type="dxa"/>
            <w:tcBorders>
              <w:top w:val="nil"/>
              <w:left w:val="nil"/>
              <w:bottom w:val="single" w:color="auto" w:sz="4"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215" w:type="dxa"/>
            <w:vMerge w:val="restart"/>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四、教与学发生改变15分</w:t>
            </w:r>
          </w:p>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p>
        </w:tc>
        <w:tc>
          <w:tcPr>
            <w:tcW w:w="1128"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4-1</w:t>
            </w:r>
          </w:p>
        </w:tc>
        <w:tc>
          <w:tcPr>
            <w:tcW w:w="5734"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top"/>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以教为中心向以学为中心转变，以提升教学效果为目的因材施教，运用适当的数字化教学工具，有效开展线下课堂教学活动。实施打破传统课堂“满堂灌”和沉默状态的方式方法，训练学生问题解决能力和审辩式思维能力</w:t>
            </w:r>
          </w:p>
        </w:tc>
        <w:tc>
          <w:tcPr>
            <w:tcW w:w="683"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10分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215" w:type="dxa"/>
            <w:vMerge w:val="continue"/>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p>
        </w:tc>
        <w:tc>
          <w:tcPr>
            <w:tcW w:w="1128"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4-2</w:t>
            </w:r>
          </w:p>
        </w:tc>
        <w:tc>
          <w:tcPr>
            <w:tcW w:w="5734"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top"/>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学生学习方式有显著变化，安排学生个别化学习与合作学习，强化课堂教学师生互动、生生互动环节，加强研究型、项目式学习。</w:t>
            </w:r>
          </w:p>
        </w:tc>
        <w:tc>
          <w:tcPr>
            <w:tcW w:w="683"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215" w:type="dxa"/>
            <w:vMerge w:val="restart"/>
            <w:tcBorders>
              <w:top w:val="single" w:color="auto" w:sz="4" w:space="0"/>
              <w:left w:val="single" w:color="auto" w:sz="6" w:space="0"/>
              <w:bottom w:val="single" w:color="auto" w:sz="4"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五、评价拓展深化</w:t>
            </w:r>
          </w:p>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15分</w:t>
            </w:r>
          </w:p>
        </w:tc>
        <w:tc>
          <w:tcPr>
            <w:tcW w:w="1128" w:type="dxa"/>
            <w:tcBorders>
              <w:top w:val="single" w:color="auto" w:sz="4" w:space="0"/>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5-1</w:t>
            </w:r>
          </w:p>
        </w:tc>
        <w:tc>
          <w:tcPr>
            <w:tcW w:w="5734" w:type="dxa"/>
            <w:tcBorders>
              <w:top w:val="single" w:color="auto" w:sz="4" w:space="0"/>
              <w:left w:val="nil"/>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考核方式多元，丰富探究式、论文式、报告答辩式等作业评价方式，加强非标准化、综合性等评价，评价手段恰当必要，契合相对应的人才培养类型。</w:t>
            </w:r>
          </w:p>
        </w:tc>
        <w:tc>
          <w:tcPr>
            <w:tcW w:w="683" w:type="dxa"/>
            <w:tcBorders>
              <w:top w:val="single" w:color="auto" w:sz="4" w:space="0"/>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c>
          <w:tcPr>
            <w:tcW w:w="1215" w:type="dxa"/>
            <w:vMerge w:val="continue"/>
            <w:tcBorders>
              <w:top w:val="single" w:color="auto" w:sz="4" w:space="0"/>
              <w:left w:val="single" w:color="auto" w:sz="6" w:space="0"/>
              <w:bottom w:val="single" w:color="auto" w:sz="4"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p>
        </w:tc>
        <w:tc>
          <w:tcPr>
            <w:tcW w:w="1128"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5-2</w:t>
            </w:r>
          </w:p>
        </w:tc>
        <w:tc>
          <w:tcPr>
            <w:tcW w:w="5734" w:type="dxa"/>
            <w:tcBorders>
              <w:top w:val="nil"/>
              <w:left w:val="nil"/>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考试考核评价严格，体现过程评价，注重学习效果评价，考核考试评价严格，过程可回溯，诊断改进积极有效。</w:t>
            </w:r>
          </w:p>
        </w:tc>
        <w:tc>
          <w:tcPr>
            <w:tcW w:w="683"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10分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215" w:type="dxa"/>
            <w:vMerge w:val="restart"/>
            <w:tcBorders>
              <w:top w:val="single" w:color="auto" w:sz="4" w:space="0"/>
              <w:left w:val="single" w:color="auto" w:sz="6" w:space="0"/>
              <w:bottom w:val="single" w:color="auto" w:sz="4"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六、改革行之有效</w:t>
            </w:r>
          </w:p>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20分</w:t>
            </w:r>
          </w:p>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p>
        </w:tc>
        <w:tc>
          <w:tcPr>
            <w:tcW w:w="1128"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6-1</w:t>
            </w:r>
          </w:p>
        </w:tc>
        <w:tc>
          <w:tcPr>
            <w:tcW w:w="5734" w:type="dxa"/>
            <w:tcBorders>
              <w:top w:val="nil"/>
              <w:left w:val="nil"/>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学习效果提升，学生对课程的参与度、学习获得感、对教师教学以及课程的满意度有明显提高。</w:t>
            </w:r>
          </w:p>
        </w:tc>
        <w:tc>
          <w:tcPr>
            <w:tcW w:w="683"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215" w:type="dxa"/>
            <w:vMerge w:val="continue"/>
            <w:tcBorders>
              <w:top w:val="single" w:color="auto" w:sz="4" w:space="0"/>
              <w:left w:val="single" w:color="auto" w:sz="6" w:space="0"/>
              <w:bottom w:val="single" w:color="auto" w:sz="4"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p>
        </w:tc>
        <w:tc>
          <w:tcPr>
            <w:tcW w:w="1128"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6-2</w:t>
            </w:r>
          </w:p>
        </w:tc>
        <w:tc>
          <w:tcPr>
            <w:tcW w:w="5734" w:type="dxa"/>
            <w:tcBorders>
              <w:top w:val="nil"/>
              <w:left w:val="nil"/>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改革迭代优化，有意识地收集数据开展教学反思、教学研究和教学改进。在多期混合式教学中进行迭 代，不断优化教学的设计和实施。</w:t>
            </w:r>
          </w:p>
        </w:tc>
        <w:tc>
          <w:tcPr>
            <w:tcW w:w="683"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15" w:type="dxa"/>
            <w:vMerge w:val="continue"/>
            <w:tcBorders>
              <w:top w:val="single" w:color="auto" w:sz="4" w:space="0"/>
              <w:left w:val="single" w:color="auto" w:sz="6" w:space="0"/>
              <w:bottom w:val="single" w:color="auto" w:sz="4"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p>
        </w:tc>
        <w:tc>
          <w:tcPr>
            <w:tcW w:w="1128"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6-3</w:t>
            </w:r>
          </w:p>
        </w:tc>
        <w:tc>
          <w:tcPr>
            <w:tcW w:w="5734" w:type="dxa"/>
            <w:tcBorders>
              <w:top w:val="nil"/>
              <w:left w:val="nil"/>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学校对探索应用智慧教室等信息化教学工具开展线下课程改革、应用信息化手段开展教学管理与质量 监控有配套条件或机制支持。</w:t>
            </w:r>
          </w:p>
        </w:tc>
        <w:tc>
          <w:tcPr>
            <w:tcW w:w="683"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215" w:type="dxa"/>
            <w:vMerge w:val="continue"/>
            <w:tcBorders>
              <w:top w:val="single" w:color="auto" w:sz="4" w:space="0"/>
              <w:left w:val="single" w:color="auto" w:sz="6" w:space="0"/>
              <w:bottom w:val="single" w:color="auto" w:sz="4"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p>
        </w:tc>
        <w:tc>
          <w:tcPr>
            <w:tcW w:w="1128"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6-4</w:t>
            </w:r>
          </w:p>
        </w:tc>
        <w:tc>
          <w:tcPr>
            <w:tcW w:w="5734" w:type="dxa"/>
            <w:tcBorders>
              <w:top w:val="nil"/>
              <w:left w:val="nil"/>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both"/>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较好地解决了传统教学中的短板问题。在树立课程建设新理念、推进相应类型高校课程改革创新、提 升教学效果方面显示了明显优势，具有推广价值。</w:t>
            </w:r>
          </w:p>
        </w:tc>
        <w:tc>
          <w:tcPr>
            <w:tcW w:w="683" w:type="dxa"/>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wordWrap/>
              <w:overflowPunct/>
              <w:topLinePunct w:val="0"/>
              <w:autoSpaceDE w:val="0"/>
              <w:autoSpaceDN w:val="0"/>
              <w:bidi w:val="0"/>
              <w:adjustRightInd/>
              <w:snapToGrid/>
              <w:spacing w:before="0" w:beforeLines="0" w:after="0" w:afterLines="0" w:line="400" w:lineRule="exact"/>
              <w:ind w:left="0" w:leftChars="0" w:right="0" w:rightChars="0" w:firstLine="0" w:firstLineChars="0"/>
              <w:jc w:val="center"/>
              <w:textAlignment w:val="auto"/>
              <w:outlineLvl w:val="9"/>
              <w:rPr>
                <w:rFonts w:hint="default" w:ascii="Times New Roman" w:hAnsi="Times New Roman" w:cs="Times New Roman" w:eastAsiaTheme="minorEastAsia"/>
                <w:i w:val="0"/>
                <w:color w:val="auto"/>
                <w:sz w:val="24"/>
                <w:szCs w:val="24"/>
                <w:u w:val="none"/>
              </w:rPr>
            </w:pPr>
            <w:r>
              <w:rPr>
                <w:rFonts w:hint="default" w:ascii="Times New Roman" w:hAnsi="Times New Roman" w:cs="Times New Roman" w:eastAsiaTheme="minorEastAsia"/>
                <w:i w:val="0"/>
                <w:color w:val="auto"/>
                <w:sz w:val="24"/>
                <w:szCs w:val="24"/>
                <w:u w:val="none"/>
              </w:rPr>
              <w:t>5分</w:t>
            </w:r>
          </w:p>
        </w:tc>
      </w:tr>
    </w:tbl>
    <w:p>
      <w:pPr>
        <w:pStyle w:val="2"/>
        <w:keepNext w:val="0"/>
        <w:keepLines w:val="0"/>
        <w:pageBreakBefore w:val="0"/>
        <w:kinsoku/>
        <w:wordWrap/>
        <w:overflowPunct/>
        <w:topLinePunct w:val="0"/>
        <w:autoSpaceDE w:val="0"/>
        <w:autoSpaceDN w:val="0"/>
        <w:bidi w:val="0"/>
        <w:adjustRightInd/>
        <w:snapToGrid/>
        <w:spacing w:before="0" w:line="480" w:lineRule="exact"/>
        <w:jc w:val="left"/>
        <w:textAlignment w:val="auto"/>
        <w:rPr>
          <w:rFonts w:hint="default" w:ascii="Times New Roman" w:hAnsi="Times New Roman" w:eastAsia="黑体" w:cs="Times New Roman"/>
          <w:b/>
          <w:bCs/>
          <w:sz w:val="32"/>
          <w:szCs w:val="32"/>
          <w:lang w:val="en-US" w:eastAsia="zh-Hans"/>
        </w:rPr>
      </w:pPr>
      <w:r>
        <w:rPr>
          <w:rFonts w:hint="default" w:ascii="Times New Roman" w:hAnsi="Times New Roman" w:eastAsia="黑体" w:cs="Times New Roman"/>
          <w:b/>
          <w:bCs/>
          <w:sz w:val="32"/>
          <w:szCs w:val="32"/>
          <w:lang w:val="en-US" w:eastAsia="zh-CN"/>
        </w:rPr>
        <w:t>三</w:t>
      </w:r>
      <w:r>
        <w:rPr>
          <w:rFonts w:hint="default" w:ascii="Times New Roman" w:hAnsi="Times New Roman" w:eastAsia="黑体" w:cs="Times New Roman"/>
          <w:b/>
          <w:bCs/>
          <w:sz w:val="32"/>
          <w:szCs w:val="32"/>
          <w:lang w:val="en-US" w:eastAsia="zh-Hans"/>
        </w:rPr>
        <w:t>、线上线下混合式一流课程评审指标</w:t>
      </w:r>
    </w:p>
    <w:p>
      <w:pPr>
        <w:pStyle w:val="2"/>
        <w:keepNext w:val="0"/>
        <w:keepLines w:val="0"/>
        <w:pageBreakBefore w:val="0"/>
        <w:kinsoku/>
        <w:wordWrap/>
        <w:overflowPunct/>
        <w:topLinePunct w:val="0"/>
        <w:autoSpaceDE w:val="0"/>
        <w:autoSpaceDN w:val="0"/>
        <w:bidi w:val="0"/>
        <w:adjustRightInd/>
        <w:snapToGrid/>
        <w:spacing w:before="0" w:line="480" w:lineRule="exact"/>
        <w:jc w:val="both"/>
        <w:textAlignment w:val="auto"/>
        <w:rPr>
          <w:rFonts w:hint="default" w:ascii="Times New Roman" w:hAnsi="Times New Roman" w:eastAsia="楷体" w:cs="Times New Roman"/>
          <w:b/>
          <w:bCs/>
          <w:sz w:val="32"/>
          <w:szCs w:val="32"/>
          <w:lang w:val="en-US" w:eastAsia="zh-Hans"/>
        </w:rPr>
      </w:pPr>
      <w:r>
        <w:rPr>
          <w:rFonts w:hint="default" w:ascii="Times New Roman" w:hAnsi="Times New Roman" w:eastAsia="楷体" w:cs="Times New Roman"/>
          <w:b/>
          <w:bCs/>
          <w:sz w:val="32"/>
          <w:szCs w:val="32"/>
          <w:lang w:val="en-US" w:eastAsia="zh-Hans"/>
        </w:rPr>
        <w:t>（一）否决性指标</w:t>
      </w:r>
    </w:p>
    <w:tbl>
      <w:tblPr>
        <w:tblStyle w:val="6"/>
        <w:tblW w:w="88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2275"/>
        <w:gridCol w:w="65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73" w:hRule="atLeast"/>
        </w:trPr>
        <w:tc>
          <w:tcPr>
            <w:tcW w:w="2275" w:type="dxa"/>
            <w:tcBorders>
              <w:top w:val="single" w:color="auto" w:sz="6" w:space="0"/>
              <w:left w:val="single" w:color="auto" w:sz="6" w:space="0"/>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333333"/>
                <w:kern w:val="0"/>
                <w:sz w:val="24"/>
                <w:szCs w:val="24"/>
                <w:u w:val="none"/>
                <w:lang w:val="en-US" w:eastAsia="zh-CN" w:bidi="ar"/>
              </w:rPr>
            </w:pPr>
            <w:r>
              <w:rPr>
                <w:rFonts w:hint="default" w:ascii="Times New Roman" w:hAnsi="Times New Roman" w:cs="Times New Roman" w:eastAsiaTheme="minorEastAsia"/>
                <w:b/>
                <w:bCs/>
                <w:i w:val="0"/>
                <w:color w:val="333333"/>
                <w:kern w:val="0"/>
                <w:sz w:val="24"/>
                <w:szCs w:val="24"/>
                <w:u w:val="none"/>
                <w:lang w:val="en-US" w:eastAsia="zh-CN" w:bidi="ar"/>
              </w:rPr>
              <w:t>项</w:t>
            </w:r>
          </w:p>
        </w:tc>
        <w:tc>
          <w:tcPr>
            <w:tcW w:w="6583" w:type="dxa"/>
            <w:tcBorders>
              <w:top w:val="single" w:color="auto" w:sz="6" w:space="0"/>
              <w:left w:val="nil"/>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333333"/>
                <w:kern w:val="0"/>
                <w:sz w:val="24"/>
                <w:szCs w:val="24"/>
                <w:u w:val="none"/>
                <w:lang w:val="en-US" w:eastAsia="zh-CN" w:bidi="ar"/>
              </w:rPr>
            </w:pPr>
            <w:r>
              <w:rPr>
                <w:rFonts w:hint="default" w:ascii="Times New Roman" w:hAnsi="Times New Roman" w:cs="Times New Roman" w:eastAsiaTheme="minorEastAsia"/>
                <w:b/>
                <w:bCs/>
                <w:i w:val="0"/>
                <w:color w:val="333333"/>
                <w:kern w:val="0"/>
                <w:sz w:val="24"/>
                <w:szCs w:val="24"/>
                <w:u w:val="none"/>
                <w:lang w:val="en-US" w:eastAsia="zh-CN" w:bidi="ar"/>
              </w:rPr>
              <w:t>细则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2275" w:type="dxa"/>
            <w:tcBorders>
              <w:top w:val="nil"/>
              <w:left w:val="single" w:color="auto" w:sz="6" w:space="0"/>
              <w:bottom w:val="single" w:color="auto" w:sz="4"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课程资质</w:t>
            </w:r>
          </w:p>
        </w:tc>
        <w:tc>
          <w:tcPr>
            <w:tcW w:w="6583" w:type="dxa"/>
            <w:tcBorders>
              <w:top w:val="nil"/>
              <w:left w:val="nil"/>
              <w:bottom w:val="single" w:color="auto" w:sz="4"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1、非本科学分课程查看教务系统提供的截图</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2、开设时间或期数不符合申报要求申报截止日期前未完成至少两个完整的教学学期或周期（查看教务系统截图）</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3、开设时间或期数不符合申报要求申报截止日期前未完成至少两个完整的教学学期或周期（查看教务系统截图）</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4、申报材料不齐备，缺少必须提供的关键材料查看是否缺少申报书中的“七、附件材料清单中的1-6项”的某项材料。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5、课程与推荐申报类型不符（查看是否属于本人或他人的慕课、SPOC或其他在线课程开展线上线下混合式教学）。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6、课程线上资源无法打开（查看课程链接提供的链接）。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2275"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课程内容</w:t>
            </w:r>
          </w:p>
        </w:tc>
        <w:tc>
          <w:tcPr>
            <w:tcW w:w="6583"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1、线上资源选择随意，课程质量差，不符合教学目标要求。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2、线上课程教学安排不符合“安排20%-50%的线上学生自主学习的基本要求”。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2275" w:type="dxa"/>
            <w:tcBorders>
              <w:top w:val="single" w:color="auto" w:sz="4" w:space="0"/>
              <w:left w:val="single" w:color="auto" w:sz="6" w:space="0"/>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教师资格</w:t>
            </w:r>
          </w:p>
        </w:tc>
        <w:tc>
          <w:tcPr>
            <w:tcW w:w="6583" w:type="dxa"/>
            <w:tcBorders>
              <w:top w:val="single" w:color="auto" w:sz="4" w:space="0"/>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1、负责人非申报高校正式聘任教师查看“二、课程团队序号1的成员”及其他申报材料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2、团队成员存在师德师风方面问题查看“十、学校政治审查意见”</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根据专家掌握的信息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2275" w:type="dxa"/>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课程内容</w:t>
            </w:r>
          </w:p>
        </w:tc>
        <w:tc>
          <w:tcPr>
            <w:tcW w:w="6583"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1、存在思想性或较严重的科学性问题 专家审查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2、课程内容涉密对比提交材料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2275" w:type="dxa"/>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造假、侵权</w:t>
            </w:r>
          </w:p>
        </w:tc>
        <w:tc>
          <w:tcPr>
            <w:tcW w:w="6583"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1、申报材料造假对比提交材料，或举报属实</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2、发现且确认有侵权现象对比提交材料，或举报属实</w:t>
            </w:r>
          </w:p>
        </w:tc>
      </w:tr>
    </w:tbl>
    <w:p>
      <w:pPr>
        <w:pStyle w:val="2"/>
        <w:keepNext w:val="0"/>
        <w:keepLines w:val="0"/>
        <w:pageBreakBefore w:val="0"/>
        <w:kinsoku/>
        <w:wordWrap/>
        <w:overflowPunct/>
        <w:topLinePunct w:val="0"/>
        <w:autoSpaceDE w:val="0"/>
        <w:autoSpaceDN w:val="0"/>
        <w:bidi w:val="0"/>
        <w:adjustRightInd/>
        <w:snapToGrid/>
        <w:spacing w:before="0" w:line="480" w:lineRule="exact"/>
        <w:jc w:val="both"/>
        <w:textAlignment w:val="auto"/>
        <w:rPr>
          <w:rFonts w:hint="default" w:ascii="Times New Roman" w:hAnsi="Times New Roman" w:eastAsia="楷体" w:cs="Times New Roman"/>
          <w:b/>
          <w:bCs/>
          <w:sz w:val="32"/>
          <w:szCs w:val="32"/>
          <w:lang w:val="en-US" w:eastAsia="zh-Hans"/>
        </w:rPr>
      </w:pPr>
      <w:r>
        <w:rPr>
          <w:rFonts w:hint="default" w:ascii="Times New Roman" w:hAnsi="Times New Roman" w:eastAsia="楷体" w:cs="Times New Roman"/>
          <w:b/>
          <w:bCs/>
          <w:sz w:val="32"/>
          <w:szCs w:val="32"/>
          <w:lang w:val="en-US" w:eastAsia="zh-Hans"/>
        </w:rPr>
        <w:t>（二）评审指标细则</w:t>
      </w:r>
    </w:p>
    <w:tbl>
      <w:tblPr>
        <w:tblStyle w:val="6"/>
        <w:tblW w:w="886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272"/>
        <w:gridCol w:w="1185"/>
        <w:gridCol w:w="5681"/>
        <w:gridCol w:w="7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272" w:type="dxa"/>
            <w:tcBorders>
              <w:top w:val="single" w:color="auto" w:sz="6" w:space="0"/>
              <w:left w:val="single" w:color="auto" w:sz="6" w:space="0"/>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333333"/>
                <w:kern w:val="0"/>
                <w:sz w:val="24"/>
                <w:szCs w:val="24"/>
                <w:u w:val="none"/>
                <w:lang w:val="en-US" w:eastAsia="zh-CN" w:bidi="ar"/>
              </w:rPr>
            </w:pPr>
            <w:r>
              <w:rPr>
                <w:rFonts w:hint="default" w:ascii="Times New Roman" w:hAnsi="Times New Roman" w:cs="Times New Roman" w:eastAsiaTheme="minorEastAsia"/>
                <w:b/>
                <w:bCs/>
                <w:i w:val="0"/>
                <w:color w:val="333333"/>
                <w:kern w:val="0"/>
                <w:sz w:val="24"/>
                <w:szCs w:val="24"/>
                <w:u w:val="none"/>
                <w:lang w:val="en-US" w:eastAsia="zh-CN" w:bidi="ar"/>
              </w:rPr>
              <w:t>一级指标</w:t>
            </w:r>
          </w:p>
        </w:tc>
        <w:tc>
          <w:tcPr>
            <w:tcW w:w="1185" w:type="dxa"/>
            <w:tcBorders>
              <w:top w:val="single" w:color="auto" w:sz="6" w:space="0"/>
              <w:left w:val="nil"/>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333333"/>
                <w:kern w:val="0"/>
                <w:sz w:val="24"/>
                <w:szCs w:val="24"/>
                <w:u w:val="none"/>
                <w:lang w:val="en-US" w:eastAsia="zh-CN" w:bidi="ar"/>
              </w:rPr>
            </w:pPr>
            <w:r>
              <w:rPr>
                <w:rFonts w:hint="default" w:ascii="Times New Roman" w:hAnsi="Times New Roman" w:cs="Times New Roman" w:eastAsiaTheme="minorEastAsia"/>
                <w:b/>
                <w:bCs/>
                <w:i w:val="0"/>
                <w:color w:val="333333"/>
                <w:kern w:val="0"/>
                <w:sz w:val="24"/>
                <w:szCs w:val="24"/>
                <w:u w:val="none"/>
                <w:lang w:val="en-US" w:eastAsia="zh-CN" w:bidi="ar"/>
              </w:rPr>
              <w:t>二级指标</w:t>
            </w:r>
          </w:p>
        </w:tc>
        <w:tc>
          <w:tcPr>
            <w:tcW w:w="5681" w:type="dxa"/>
            <w:tcBorders>
              <w:top w:val="single" w:color="auto" w:sz="6" w:space="0"/>
              <w:left w:val="nil"/>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333333"/>
                <w:kern w:val="0"/>
                <w:sz w:val="24"/>
                <w:szCs w:val="24"/>
                <w:u w:val="none"/>
                <w:lang w:val="en-US" w:eastAsia="zh-CN" w:bidi="ar"/>
              </w:rPr>
            </w:pPr>
            <w:r>
              <w:rPr>
                <w:rFonts w:hint="default" w:ascii="Times New Roman" w:hAnsi="Times New Roman" w:cs="Times New Roman" w:eastAsiaTheme="minorEastAsia"/>
                <w:b/>
                <w:bCs/>
                <w:i w:val="0"/>
                <w:color w:val="333333"/>
                <w:kern w:val="0"/>
                <w:sz w:val="24"/>
                <w:szCs w:val="24"/>
                <w:u w:val="none"/>
                <w:lang w:val="en-US" w:eastAsia="zh-CN" w:bidi="ar"/>
              </w:rPr>
              <w:t>观测点及描述</w:t>
            </w:r>
          </w:p>
        </w:tc>
        <w:tc>
          <w:tcPr>
            <w:tcW w:w="731" w:type="dxa"/>
            <w:tcBorders>
              <w:top w:val="single" w:color="auto" w:sz="6" w:space="0"/>
              <w:left w:val="nil"/>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333333"/>
                <w:kern w:val="0"/>
                <w:sz w:val="24"/>
                <w:szCs w:val="24"/>
                <w:u w:val="none"/>
                <w:lang w:val="en-US" w:eastAsia="zh-CN" w:bidi="ar"/>
              </w:rPr>
            </w:pPr>
            <w:r>
              <w:rPr>
                <w:rFonts w:hint="default" w:ascii="Times New Roman" w:hAnsi="Times New Roman" w:cs="Times New Roman" w:eastAsiaTheme="minorEastAsia"/>
                <w:b/>
                <w:bCs/>
                <w:i w:val="0"/>
                <w:color w:val="333333"/>
                <w:kern w:val="0"/>
                <w:sz w:val="24"/>
                <w:szCs w:val="24"/>
                <w:u w:val="none"/>
                <w:lang w:val="en-US" w:eastAsia="zh-CN" w:bidi="ar"/>
              </w:rPr>
              <w:t>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272" w:type="dxa"/>
            <w:vMerge w:val="restart"/>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rPr>
              <w:t>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rPr>
              <w:t>课程目标符合新时代人才培养要求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15分</w:t>
            </w:r>
          </w:p>
        </w:tc>
        <w:tc>
          <w:tcPr>
            <w:tcW w:w="1185"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1-1</w:t>
            </w:r>
          </w:p>
        </w:tc>
        <w:tc>
          <w:tcPr>
            <w:tcW w:w="5681" w:type="dxa"/>
            <w:tcBorders>
              <w:top w:val="nil"/>
              <w:left w:val="nil"/>
              <w:bottom w:val="single" w:color="auto" w:sz="6" w:space="0"/>
              <w:right w:val="single" w:color="auto" w:sz="6" w:space="0"/>
            </w:tcBorders>
            <w:shd w:val="clear" w:color="auto" w:fill="FFFFFF"/>
            <w:tcMar>
              <w:left w:w="75" w:type="dxa"/>
              <w:right w:w="75" w:type="dxa"/>
            </w:tcMar>
            <w:vAlign w:val="top"/>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符合学校办学定位和人才培养目标，坚持立德树人。</w:t>
            </w:r>
          </w:p>
        </w:tc>
        <w:tc>
          <w:tcPr>
            <w:tcW w:w="731"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272"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both"/>
              <w:textAlignment w:val="auto"/>
              <w:rPr>
                <w:rFonts w:hint="default" w:ascii="Times New Roman" w:hAnsi="Times New Roman" w:eastAsia="宋体" w:cs="Times New Roman"/>
                <w:b w:val="0"/>
                <w:bCs w:val="0"/>
                <w:i w:val="0"/>
                <w:iCs w:val="0"/>
                <w:caps w:val="0"/>
                <w:color w:val="auto"/>
                <w:spacing w:val="8"/>
                <w:sz w:val="24"/>
                <w:szCs w:val="24"/>
              </w:rPr>
            </w:pPr>
          </w:p>
        </w:tc>
        <w:tc>
          <w:tcPr>
            <w:tcW w:w="1185"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1-2</w:t>
            </w:r>
          </w:p>
        </w:tc>
        <w:tc>
          <w:tcPr>
            <w:tcW w:w="5681" w:type="dxa"/>
            <w:tcBorders>
              <w:top w:val="nil"/>
              <w:left w:val="nil"/>
              <w:bottom w:val="single" w:color="auto" w:sz="6" w:space="0"/>
              <w:right w:val="single" w:color="auto" w:sz="6" w:space="0"/>
            </w:tcBorders>
            <w:shd w:val="clear" w:color="auto" w:fill="FFFFFF"/>
            <w:tcMar>
              <w:left w:w="75" w:type="dxa"/>
              <w:right w:w="75" w:type="dxa"/>
            </w:tcMar>
            <w:vAlign w:val="top"/>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坚持知识、能力、素质有机融合，注重提升课程的高阶性、突出课程的创新性、增加课程的挑战度，契合学生解决复杂问题等综合能力养成要求。</w:t>
            </w:r>
          </w:p>
        </w:tc>
        <w:tc>
          <w:tcPr>
            <w:tcW w:w="731"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272"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both"/>
              <w:textAlignment w:val="auto"/>
              <w:rPr>
                <w:rFonts w:hint="default" w:ascii="Times New Roman" w:hAnsi="Times New Roman" w:eastAsia="宋体" w:cs="Times New Roman"/>
                <w:b w:val="0"/>
                <w:bCs w:val="0"/>
                <w:i w:val="0"/>
                <w:iCs w:val="0"/>
                <w:caps w:val="0"/>
                <w:color w:val="auto"/>
                <w:spacing w:val="8"/>
                <w:sz w:val="24"/>
                <w:szCs w:val="24"/>
              </w:rPr>
            </w:pPr>
          </w:p>
        </w:tc>
        <w:tc>
          <w:tcPr>
            <w:tcW w:w="1185"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1-3</w:t>
            </w:r>
          </w:p>
        </w:tc>
        <w:tc>
          <w:tcPr>
            <w:tcW w:w="5681" w:type="dxa"/>
            <w:tcBorders>
              <w:top w:val="nil"/>
              <w:left w:val="nil"/>
              <w:bottom w:val="single" w:color="auto" w:sz="6" w:space="0"/>
              <w:right w:val="single" w:color="auto" w:sz="6" w:space="0"/>
            </w:tcBorders>
            <w:shd w:val="clear" w:color="auto" w:fill="FFFFFF"/>
            <w:tcMar>
              <w:left w:w="75" w:type="dxa"/>
              <w:right w:w="75" w:type="dxa"/>
            </w:tcMar>
            <w:vAlign w:val="top"/>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目标描述准确具体，对应国家、行业、专业需求，符合培养规律，符合校情、学情，达成路径清晰，便于考核评价。</w:t>
            </w:r>
          </w:p>
        </w:tc>
        <w:tc>
          <w:tcPr>
            <w:tcW w:w="731"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272" w:type="dxa"/>
            <w:vMerge w:val="restart"/>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rPr>
              <w:t>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rPr>
              <w:t>授课教师（团队）切实投入教学改革</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15分</w:t>
            </w:r>
          </w:p>
        </w:tc>
        <w:tc>
          <w:tcPr>
            <w:tcW w:w="1185"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2-1</w:t>
            </w:r>
          </w:p>
        </w:tc>
        <w:tc>
          <w:tcPr>
            <w:tcW w:w="5681" w:type="dxa"/>
            <w:tcBorders>
              <w:top w:val="nil"/>
              <w:left w:val="nil"/>
              <w:bottom w:val="single" w:color="auto" w:sz="6" w:space="0"/>
              <w:right w:val="single" w:color="auto" w:sz="6" w:space="0"/>
            </w:tcBorders>
            <w:shd w:val="clear" w:color="auto" w:fill="FFFFFF"/>
            <w:tcMar>
              <w:left w:w="75" w:type="dxa"/>
              <w:right w:w="75" w:type="dxa"/>
            </w:tcMar>
            <w:vAlign w:val="top"/>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秉持学生中心、产出导向、持续改进的理念。</w:t>
            </w:r>
          </w:p>
        </w:tc>
        <w:tc>
          <w:tcPr>
            <w:tcW w:w="731"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72"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both"/>
              <w:textAlignment w:val="auto"/>
              <w:rPr>
                <w:rFonts w:hint="default" w:ascii="Times New Roman" w:hAnsi="Times New Roman" w:eastAsia="宋体" w:cs="Times New Roman"/>
                <w:b w:val="0"/>
                <w:bCs w:val="0"/>
                <w:i w:val="0"/>
                <w:iCs w:val="0"/>
                <w:caps w:val="0"/>
                <w:color w:val="auto"/>
                <w:spacing w:val="8"/>
                <w:sz w:val="24"/>
                <w:szCs w:val="24"/>
              </w:rPr>
            </w:pPr>
          </w:p>
        </w:tc>
        <w:tc>
          <w:tcPr>
            <w:tcW w:w="1185"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2-2</w:t>
            </w:r>
          </w:p>
        </w:tc>
        <w:tc>
          <w:tcPr>
            <w:tcW w:w="5681" w:type="dxa"/>
            <w:tcBorders>
              <w:top w:val="nil"/>
              <w:left w:val="nil"/>
              <w:bottom w:val="single" w:color="auto" w:sz="6" w:space="0"/>
              <w:right w:val="single" w:color="auto" w:sz="6" w:space="0"/>
            </w:tcBorders>
            <w:shd w:val="clear" w:color="auto" w:fill="FFFFFF"/>
            <w:tcMar>
              <w:left w:w="75" w:type="dxa"/>
              <w:right w:w="75" w:type="dxa"/>
            </w:tcMar>
            <w:vAlign w:val="top"/>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教学理念融入教学设计，围绕目标达成、教学内容、组织实施和多元评价需求进行整体规划，教学策略、教学方法 教学过程、教学评价等设计合理。</w:t>
            </w:r>
          </w:p>
        </w:tc>
        <w:tc>
          <w:tcPr>
            <w:tcW w:w="731"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0" w:hRule="atLeast"/>
        </w:trPr>
        <w:tc>
          <w:tcPr>
            <w:tcW w:w="1272" w:type="dxa"/>
            <w:vMerge w:val="continue"/>
            <w:tcBorders>
              <w:top w:val="nil"/>
              <w:left w:val="single" w:color="auto" w:sz="6" w:space="0"/>
              <w:bottom w:val="single" w:color="auto" w:sz="4"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both"/>
              <w:textAlignment w:val="auto"/>
              <w:rPr>
                <w:rFonts w:hint="default" w:ascii="Times New Roman" w:hAnsi="Times New Roman" w:eastAsia="宋体" w:cs="Times New Roman"/>
                <w:b w:val="0"/>
                <w:bCs w:val="0"/>
                <w:i w:val="0"/>
                <w:iCs w:val="0"/>
                <w:caps w:val="0"/>
                <w:color w:val="auto"/>
                <w:spacing w:val="8"/>
                <w:sz w:val="24"/>
                <w:szCs w:val="24"/>
              </w:rPr>
            </w:pPr>
          </w:p>
        </w:tc>
        <w:tc>
          <w:tcPr>
            <w:tcW w:w="1185" w:type="dxa"/>
            <w:tcBorders>
              <w:top w:val="nil"/>
              <w:left w:val="nil"/>
              <w:bottom w:val="single" w:color="auto" w:sz="4"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2-3</w:t>
            </w:r>
          </w:p>
        </w:tc>
        <w:tc>
          <w:tcPr>
            <w:tcW w:w="5681" w:type="dxa"/>
            <w:tcBorders>
              <w:top w:val="nil"/>
              <w:left w:val="nil"/>
              <w:bottom w:val="single" w:color="auto" w:sz="6" w:space="0"/>
              <w:right w:val="single" w:color="auto" w:sz="6" w:space="0"/>
            </w:tcBorders>
            <w:shd w:val="clear" w:color="auto" w:fill="FFFFFF"/>
            <w:tcMar>
              <w:left w:w="75" w:type="dxa"/>
              <w:right w:w="75" w:type="dxa"/>
            </w:tcMar>
            <w:vAlign w:val="top"/>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教学改革意识强烈，能够主动运用新技术，创新教学方法提高教学效率、提升教学质量，教学能力有显著提升。</w:t>
            </w:r>
          </w:p>
        </w:tc>
        <w:tc>
          <w:tcPr>
            <w:tcW w:w="731"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72" w:type="dxa"/>
            <w:vMerge w:val="restart"/>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rPr>
              <w:t>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rPr>
              <w:t>课程内容与时俱进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20分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p>
        </w:tc>
        <w:tc>
          <w:tcPr>
            <w:tcW w:w="1185"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3-1</w:t>
            </w:r>
          </w:p>
        </w:tc>
        <w:tc>
          <w:tcPr>
            <w:tcW w:w="5681" w:type="dxa"/>
            <w:tcBorders>
              <w:top w:val="nil"/>
              <w:left w:val="single" w:color="auto" w:sz="4" w:space="0"/>
              <w:bottom w:val="single" w:color="auto" w:sz="4" w:space="0"/>
              <w:right w:val="single" w:color="auto" w:sz="6" w:space="0"/>
            </w:tcBorders>
            <w:shd w:val="clear" w:color="auto" w:fill="FFFFFF"/>
            <w:tcMar>
              <w:left w:w="75" w:type="dxa"/>
              <w:right w:w="75" w:type="dxa"/>
            </w:tcMar>
            <w:vAlign w:val="top"/>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落实课程思政建设要求，通过专业知识教育与思想政治教育的紧密融合，将价值塑造、知识传授和能力培养三者融为一体。</w:t>
            </w:r>
          </w:p>
        </w:tc>
        <w:tc>
          <w:tcPr>
            <w:tcW w:w="731" w:type="dxa"/>
            <w:tcBorders>
              <w:top w:val="nil"/>
              <w:left w:val="nil"/>
              <w:bottom w:val="single" w:color="auto" w:sz="4"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272" w:type="dxa"/>
            <w:vMerge w:val="continue"/>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both"/>
              <w:textAlignment w:val="auto"/>
              <w:rPr>
                <w:rFonts w:hint="default" w:ascii="Times New Roman" w:hAnsi="Times New Roman" w:eastAsia="宋体" w:cs="Times New Roman"/>
                <w:b w:val="0"/>
                <w:bCs w:val="0"/>
                <w:i w:val="0"/>
                <w:iCs w:val="0"/>
                <w:caps w:val="0"/>
                <w:color w:val="auto"/>
                <w:spacing w:val="8"/>
                <w:sz w:val="24"/>
                <w:szCs w:val="24"/>
              </w:rPr>
            </w:pPr>
          </w:p>
        </w:tc>
        <w:tc>
          <w:tcPr>
            <w:tcW w:w="1185"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3-2</w:t>
            </w:r>
          </w:p>
        </w:tc>
        <w:tc>
          <w:tcPr>
            <w:tcW w:w="5681"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top"/>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体现前沿性与时代性要求，反映学科专业、行业先进的核心理论和成果，聚焦新工科、新医科、新农科、新文科建设，增加体现多学科思维融合、产业技术与学科理论融合、跨专 业能力融合、多学科项目实践融合内容。</w:t>
            </w:r>
          </w:p>
        </w:tc>
        <w:tc>
          <w:tcPr>
            <w:tcW w:w="731"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72" w:type="dxa"/>
            <w:vMerge w:val="continue"/>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both"/>
              <w:textAlignment w:val="auto"/>
              <w:rPr>
                <w:rFonts w:hint="default" w:ascii="Times New Roman" w:hAnsi="Times New Roman" w:eastAsia="宋体" w:cs="Times New Roman"/>
                <w:b w:val="0"/>
                <w:bCs w:val="0"/>
                <w:i w:val="0"/>
                <w:iCs w:val="0"/>
                <w:caps w:val="0"/>
                <w:color w:val="auto"/>
                <w:spacing w:val="8"/>
                <w:sz w:val="24"/>
                <w:szCs w:val="24"/>
              </w:rPr>
            </w:pPr>
          </w:p>
        </w:tc>
        <w:tc>
          <w:tcPr>
            <w:tcW w:w="1185"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3-3</w:t>
            </w:r>
          </w:p>
        </w:tc>
        <w:tc>
          <w:tcPr>
            <w:tcW w:w="5681"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top"/>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保障教学资源的优质性与适用性，优先选择国家级和省级精品在线开放课程等高质量在线课程资源，结合本校实际对课程内容进行优化，线上、线下内容互补，充分体现混合式优势。</w:t>
            </w:r>
          </w:p>
        </w:tc>
        <w:tc>
          <w:tcPr>
            <w:tcW w:w="731"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272" w:type="dxa"/>
            <w:vMerge w:val="restart"/>
            <w:tcBorders>
              <w:top w:val="single" w:color="auto" w:sz="4" w:space="0"/>
              <w:left w:val="single" w:color="auto" w:sz="6" w:space="0"/>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rPr>
              <w:t>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rPr>
              <w:t>教与学发生改变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15分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p>
        </w:tc>
        <w:tc>
          <w:tcPr>
            <w:tcW w:w="1185" w:type="dxa"/>
            <w:tcBorders>
              <w:top w:val="single" w:color="auto" w:sz="4" w:space="0"/>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4-1</w:t>
            </w:r>
          </w:p>
        </w:tc>
        <w:tc>
          <w:tcPr>
            <w:tcW w:w="5681" w:type="dxa"/>
            <w:tcBorders>
              <w:top w:val="single" w:color="auto" w:sz="4" w:space="0"/>
              <w:left w:val="nil"/>
              <w:bottom w:val="single" w:color="auto" w:sz="6" w:space="0"/>
              <w:right w:val="single" w:color="auto" w:sz="6" w:space="0"/>
            </w:tcBorders>
            <w:shd w:val="clear" w:color="auto" w:fill="FFFFFF"/>
            <w:tcMar>
              <w:left w:w="75" w:type="dxa"/>
              <w:right w:w="75" w:type="dxa"/>
            </w:tcMar>
            <w:vAlign w:val="top"/>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以教为中心向以学为中心转变，符合“安排20-50%的教学时间实施学生线上自主学习”基本要求，以提升教学效果为目的，因材施教，运用适当的数字化教学工具创新教学方式方法，有效开展线上与线下密切衔接的全过程教学活动。实施打破传统课堂“满堂灌”和沉默状态的方式方法，训练学生问题解决能力和审辩式思维能力</w:t>
            </w:r>
          </w:p>
        </w:tc>
        <w:tc>
          <w:tcPr>
            <w:tcW w:w="731" w:type="dxa"/>
            <w:tcBorders>
              <w:top w:val="single" w:color="auto" w:sz="4" w:space="0"/>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272"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both"/>
              <w:textAlignment w:val="auto"/>
              <w:rPr>
                <w:rFonts w:hint="default" w:ascii="Times New Roman" w:hAnsi="Times New Roman" w:eastAsia="宋体" w:cs="Times New Roman"/>
                <w:b w:val="0"/>
                <w:bCs w:val="0"/>
                <w:i w:val="0"/>
                <w:iCs w:val="0"/>
                <w:caps w:val="0"/>
                <w:color w:val="auto"/>
                <w:spacing w:val="8"/>
                <w:sz w:val="24"/>
                <w:szCs w:val="24"/>
              </w:rPr>
            </w:pPr>
          </w:p>
        </w:tc>
        <w:tc>
          <w:tcPr>
            <w:tcW w:w="1185"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4-2</w:t>
            </w:r>
          </w:p>
        </w:tc>
        <w:tc>
          <w:tcPr>
            <w:tcW w:w="5681" w:type="dxa"/>
            <w:tcBorders>
              <w:top w:val="nil"/>
              <w:left w:val="nil"/>
              <w:bottom w:val="single" w:color="auto" w:sz="6" w:space="0"/>
              <w:right w:val="single" w:color="auto" w:sz="6" w:space="0"/>
            </w:tcBorders>
            <w:shd w:val="clear" w:color="auto" w:fill="FFFFFF"/>
            <w:tcMar>
              <w:left w:w="75" w:type="dxa"/>
              <w:right w:w="75" w:type="dxa"/>
            </w:tcMar>
            <w:vAlign w:val="top"/>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学生学习方式有显著变化，安排学生个别化学习与合作学习，强化课堂教学师生互动、生生互动环节，加强研究型、项目式学习。</w:t>
            </w:r>
          </w:p>
        </w:tc>
        <w:tc>
          <w:tcPr>
            <w:tcW w:w="731"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5分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72" w:type="dxa"/>
            <w:vMerge w:val="restart"/>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rPr>
              <w:t>五、</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评价拓展深化</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15分</w:t>
            </w:r>
          </w:p>
        </w:tc>
        <w:tc>
          <w:tcPr>
            <w:tcW w:w="1185"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5-1</w:t>
            </w:r>
          </w:p>
        </w:tc>
        <w:tc>
          <w:tcPr>
            <w:tcW w:w="5681" w:type="dxa"/>
            <w:tcBorders>
              <w:top w:val="nil"/>
              <w:left w:val="nil"/>
              <w:bottom w:val="single" w:color="auto" w:sz="6" w:space="0"/>
              <w:right w:val="single" w:color="auto" w:sz="6" w:space="0"/>
            </w:tcBorders>
            <w:shd w:val="clear" w:color="auto" w:fill="FFFFFF"/>
            <w:tcMar>
              <w:left w:w="75" w:type="dxa"/>
              <w:right w:w="75" w:type="dxa"/>
            </w:tcMar>
            <w:vAlign w:val="top"/>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考核方式多元，丰富探究式、论文式、报告答辩式等作业评价方式，加强非标准化、综合性等评价，评价手段恰当必要，契合相对应的人才培养类型。</w:t>
            </w:r>
          </w:p>
        </w:tc>
        <w:tc>
          <w:tcPr>
            <w:tcW w:w="731"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272"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both"/>
              <w:textAlignment w:val="auto"/>
              <w:rPr>
                <w:rFonts w:hint="default" w:ascii="Times New Roman" w:hAnsi="Times New Roman" w:eastAsia="宋体" w:cs="Times New Roman"/>
                <w:b w:val="0"/>
                <w:bCs w:val="0"/>
                <w:i w:val="0"/>
                <w:iCs w:val="0"/>
                <w:caps w:val="0"/>
                <w:color w:val="auto"/>
                <w:spacing w:val="8"/>
                <w:sz w:val="24"/>
                <w:szCs w:val="24"/>
              </w:rPr>
            </w:pPr>
          </w:p>
        </w:tc>
        <w:tc>
          <w:tcPr>
            <w:tcW w:w="1185"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5-2</w:t>
            </w:r>
          </w:p>
        </w:tc>
        <w:tc>
          <w:tcPr>
            <w:tcW w:w="5681" w:type="dxa"/>
            <w:tcBorders>
              <w:top w:val="nil"/>
              <w:left w:val="nil"/>
              <w:bottom w:val="single" w:color="auto" w:sz="6" w:space="0"/>
              <w:right w:val="single" w:color="auto" w:sz="6" w:space="0"/>
            </w:tcBorders>
            <w:shd w:val="clear" w:color="auto" w:fill="FFFFFF"/>
            <w:tcMar>
              <w:left w:w="75" w:type="dxa"/>
              <w:right w:w="75" w:type="dxa"/>
            </w:tcMar>
            <w:vAlign w:val="top"/>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考试考核评价严格，体现过程评价，注重学习效果评价。学生线上自主学习、作业和测试等评价与参加线下教学活动的评价连贯完整，过程可回溯，诊断改进积极有效。</w:t>
            </w:r>
          </w:p>
        </w:tc>
        <w:tc>
          <w:tcPr>
            <w:tcW w:w="731"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72" w:type="dxa"/>
            <w:vMerge w:val="restart"/>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rPr>
              <w:t>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改革行之有效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20分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p>
        </w:tc>
        <w:tc>
          <w:tcPr>
            <w:tcW w:w="1185"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6-1</w:t>
            </w:r>
          </w:p>
        </w:tc>
        <w:tc>
          <w:tcPr>
            <w:tcW w:w="5681" w:type="dxa"/>
            <w:tcBorders>
              <w:top w:val="nil"/>
              <w:left w:val="nil"/>
              <w:bottom w:val="single" w:color="auto" w:sz="6" w:space="0"/>
              <w:right w:val="single" w:color="auto" w:sz="6" w:space="0"/>
            </w:tcBorders>
            <w:shd w:val="clear" w:color="auto" w:fill="FFFFFF"/>
            <w:tcMar>
              <w:left w:w="75" w:type="dxa"/>
              <w:right w:w="75" w:type="dxa"/>
            </w:tcMar>
            <w:vAlign w:val="top"/>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学习效果提升，学生对课程的参与度、学习获得感、对教师教学以及课程的满意度有明显提高。</w:t>
            </w:r>
          </w:p>
        </w:tc>
        <w:tc>
          <w:tcPr>
            <w:tcW w:w="731"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72"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center"/>
              <w:textAlignment w:val="auto"/>
              <w:rPr>
                <w:rFonts w:hint="default" w:ascii="Times New Roman" w:hAnsi="Times New Roman" w:eastAsia="宋体" w:cs="Times New Roman"/>
                <w:b w:val="0"/>
                <w:bCs w:val="0"/>
                <w:i w:val="0"/>
                <w:iCs w:val="0"/>
                <w:caps w:val="0"/>
                <w:color w:val="auto"/>
                <w:spacing w:val="8"/>
                <w:sz w:val="24"/>
                <w:szCs w:val="24"/>
              </w:rPr>
            </w:pPr>
          </w:p>
        </w:tc>
        <w:tc>
          <w:tcPr>
            <w:tcW w:w="1185"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6-2</w:t>
            </w:r>
          </w:p>
        </w:tc>
        <w:tc>
          <w:tcPr>
            <w:tcW w:w="5681" w:type="dxa"/>
            <w:tcBorders>
              <w:top w:val="nil"/>
              <w:left w:val="nil"/>
              <w:bottom w:val="single" w:color="auto" w:sz="6" w:space="0"/>
              <w:right w:val="single" w:color="auto" w:sz="6" w:space="0"/>
            </w:tcBorders>
            <w:shd w:val="clear" w:color="auto" w:fill="FFFFFF"/>
            <w:tcMar>
              <w:left w:w="75" w:type="dxa"/>
              <w:right w:w="75" w:type="dxa"/>
            </w:tcMar>
            <w:vAlign w:val="top"/>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改革迭代优化，有意识地收集数据开展教学反思、教学研究和教学改进。在多期混合式教学中进行迭 代，不断优化教学的设计和实施。</w:t>
            </w:r>
          </w:p>
        </w:tc>
        <w:tc>
          <w:tcPr>
            <w:tcW w:w="731"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272"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center"/>
              <w:textAlignment w:val="auto"/>
              <w:rPr>
                <w:rFonts w:hint="default" w:ascii="Times New Roman" w:hAnsi="Times New Roman" w:eastAsia="宋体" w:cs="Times New Roman"/>
                <w:b w:val="0"/>
                <w:bCs w:val="0"/>
                <w:i w:val="0"/>
                <w:iCs w:val="0"/>
                <w:caps w:val="0"/>
                <w:color w:val="auto"/>
                <w:spacing w:val="8"/>
                <w:sz w:val="24"/>
                <w:szCs w:val="24"/>
              </w:rPr>
            </w:pPr>
          </w:p>
        </w:tc>
        <w:tc>
          <w:tcPr>
            <w:tcW w:w="1185"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6-3</w:t>
            </w:r>
          </w:p>
        </w:tc>
        <w:tc>
          <w:tcPr>
            <w:tcW w:w="5681" w:type="dxa"/>
            <w:tcBorders>
              <w:top w:val="nil"/>
              <w:left w:val="nil"/>
              <w:bottom w:val="single" w:color="auto" w:sz="6" w:space="0"/>
              <w:right w:val="single" w:color="auto" w:sz="6" w:space="0"/>
            </w:tcBorders>
            <w:shd w:val="clear" w:color="auto" w:fill="FFFFFF"/>
            <w:tcMar>
              <w:left w:w="75" w:type="dxa"/>
              <w:right w:w="75" w:type="dxa"/>
            </w:tcMar>
            <w:vAlign w:val="top"/>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学校对线上线下混合式教学有合理的工作量计算机制、教学管理与质量监控机制等配套支持，并不断 完善。</w:t>
            </w:r>
          </w:p>
        </w:tc>
        <w:tc>
          <w:tcPr>
            <w:tcW w:w="731"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272"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center"/>
              <w:textAlignment w:val="auto"/>
              <w:rPr>
                <w:rFonts w:hint="default" w:ascii="Times New Roman" w:hAnsi="Times New Roman" w:eastAsia="宋体" w:cs="Times New Roman"/>
                <w:b w:val="0"/>
                <w:bCs w:val="0"/>
                <w:i w:val="0"/>
                <w:iCs w:val="0"/>
                <w:caps w:val="0"/>
                <w:color w:val="auto"/>
                <w:spacing w:val="8"/>
                <w:sz w:val="24"/>
                <w:szCs w:val="24"/>
              </w:rPr>
            </w:pPr>
          </w:p>
        </w:tc>
        <w:tc>
          <w:tcPr>
            <w:tcW w:w="1185"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6-4</w:t>
            </w:r>
          </w:p>
        </w:tc>
        <w:tc>
          <w:tcPr>
            <w:tcW w:w="5681" w:type="dxa"/>
            <w:tcBorders>
              <w:top w:val="nil"/>
              <w:left w:val="nil"/>
              <w:bottom w:val="single" w:color="auto" w:sz="6" w:space="0"/>
              <w:right w:val="single" w:color="auto" w:sz="6" w:space="0"/>
            </w:tcBorders>
            <w:shd w:val="clear" w:color="auto" w:fill="FFFFFF"/>
            <w:tcMar>
              <w:left w:w="75" w:type="dxa"/>
              <w:right w:w="75" w:type="dxa"/>
            </w:tcMar>
            <w:vAlign w:val="top"/>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较好地解决了传统教学中的短板问题。在树立课程建设新理念、推进相应类型高校课程改革创新、提升教学效果方面显示了明显优势，具有推广价值。</w:t>
            </w:r>
          </w:p>
        </w:tc>
        <w:tc>
          <w:tcPr>
            <w:tcW w:w="731"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5分</w:t>
            </w:r>
          </w:p>
        </w:tc>
      </w:tr>
    </w:tbl>
    <w:p>
      <w:pPr>
        <w:pStyle w:val="2"/>
        <w:keepNext w:val="0"/>
        <w:keepLines w:val="0"/>
        <w:pageBreakBefore w:val="0"/>
        <w:kinsoku/>
        <w:wordWrap/>
        <w:overflowPunct/>
        <w:topLinePunct w:val="0"/>
        <w:autoSpaceDE w:val="0"/>
        <w:autoSpaceDN w:val="0"/>
        <w:bidi w:val="0"/>
        <w:adjustRightInd/>
        <w:snapToGrid/>
        <w:spacing w:before="0" w:line="480" w:lineRule="exact"/>
        <w:jc w:val="both"/>
        <w:textAlignment w:val="auto"/>
        <w:rPr>
          <w:rFonts w:hint="default" w:ascii="Times New Roman" w:hAnsi="Times New Roman" w:eastAsia="黑体" w:cs="Times New Roman"/>
          <w:b/>
          <w:bCs/>
          <w:sz w:val="32"/>
          <w:szCs w:val="32"/>
          <w:lang w:val="en-US" w:eastAsia="zh-CN"/>
        </w:rPr>
      </w:pPr>
    </w:p>
    <w:p>
      <w:pPr>
        <w:pStyle w:val="2"/>
        <w:keepNext w:val="0"/>
        <w:keepLines w:val="0"/>
        <w:pageBreakBefore w:val="0"/>
        <w:kinsoku/>
        <w:wordWrap/>
        <w:overflowPunct/>
        <w:topLinePunct w:val="0"/>
        <w:autoSpaceDE w:val="0"/>
        <w:autoSpaceDN w:val="0"/>
        <w:bidi w:val="0"/>
        <w:adjustRightInd/>
        <w:snapToGrid/>
        <w:spacing w:before="0" w:line="480" w:lineRule="exact"/>
        <w:jc w:val="both"/>
        <w:textAlignment w:val="auto"/>
        <w:rPr>
          <w:rFonts w:hint="default" w:ascii="Times New Roman" w:hAnsi="Times New Roman" w:eastAsia="黑体" w:cs="Times New Roman"/>
          <w:b/>
          <w:bCs/>
          <w:sz w:val="32"/>
          <w:szCs w:val="32"/>
          <w:lang w:val="en-US" w:eastAsia="zh-CN"/>
        </w:rPr>
      </w:pPr>
    </w:p>
    <w:p>
      <w:pPr>
        <w:pStyle w:val="2"/>
        <w:keepNext w:val="0"/>
        <w:keepLines w:val="0"/>
        <w:pageBreakBefore w:val="0"/>
        <w:kinsoku/>
        <w:wordWrap/>
        <w:overflowPunct/>
        <w:topLinePunct w:val="0"/>
        <w:autoSpaceDE w:val="0"/>
        <w:autoSpaceDN w:val="0"/>
        <w:bidi w:val="0"/>
        <w:adjustRightInd/>
        <w:snapToGrid/>
        <w:spacing w:before="0" w:line="480" w:lineRule="exact"/>
        <w:jc w:val="both"/>
        <w:textAlignment w:val="auto"/>
        <w:rPr>
          <w:rFonts w:hint="default" w:ascii="Times New Roman" w:hAnsi="Times New Roman" w:eastAsia="黑体" w:cs="Times New Roman"/>
          <w:b/>
          <w:bCs/>
          <w:sz w:val="32"/>
          <w:szCs w:val="32"/>
          <w:lang w:val="en-US" w:eastAsia="zh-Hans"/>
        </w:rPr>
      </w:pPr>
      <w:r>
        <w:rPr>
          <w:rFonts w:hint="default" w:ascii="Times New Roman" w:hAnsi="Times New Roman" w:eastAsia="黑体" w:cs="Times New Roman"/>
          <w:b/>
          <w:bCs/>
          <w:sz w:val="32"/>
          <w:szCs w:val="32"/>
          <w:lang w:val="en-US" w:eastAsia="zh-CN"/>
        </w:rPr>
        <w:t>四</w:t>
      </w:r>
      <w:r>
        <w:rPr>
          <w:rFonts w:hint="default" w:ascii="Times New Roman" w:hAnsi="Times New Roman" w:eastAsia="黑体" w:cs="Times New Roman"/>
          <w:b/>
          <w:bCs/>
          <w:sz w:val="32"/>
          <w:szCs w:val="32"/>
          <w:lang w:val="en-US" w:eastAsia="zh-Hans"/>
        </w:rPr>
        <w:t>、虚拟仿真一流课程评审指标</w:t>
      </w:r>
    </w:p>
    <w:tbl>
      <w:tblPr>
        <w:tblStyle w:val="6"/>
        <w:tblW w:w="88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806"/>
        <w:gridCol w:w="775"/>
        <w:gridCol w:w="2038"/>
        <w:gridCol w:w="52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806" w:type="dxa"/>
            <w:tcBorders>
              <w:top w:val="single" w:color="auto" w:sz="6" w:space="0"/>
              <w:left w:val="single" w:color="auto" w:sz="6" w:space="0"/>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333333"/>
                <w:kern w:val="0"/>
                <w:sz w:val="24"/>
                <w:szCs w:val="24"/>
                <w:u w:val="none"/>
                <w:lang w:val="en-US" w:eastAsia="zh-CN" w:bidi="ar"/>
              </w:rPr>
            </w:pPr>
            <w:r>
              <w:rPr>
                <w:rFonts w:hint="default" w:ascii="Times New Roman" w:hAnsi="Times New Roman" w:cs="Times New Roman" w:eastAsiaTheme="minorEastAsia"/>
                <w:b/>
                <w:bCs/>
                <w:i w:val="0"/>
                <w:color w:val="333333"/>
                <w:kern w:val="0"/>
                <w:sz w:val="24"/>
                <w:szCs w:val="24"/>
                <w:u w:val="none"/>
                <w:lang w:val="en-US" w:eastAsia="zh-CN" w:bidi="ar"/>
              </w:rPr>
              <w:t>重百分比</w:t>
            </w:r>
          </w:p>
        </w:tc>
        <w:tc>
          <w:tcPr>
            <w:tcW w:w="775" w:type="dxa"/>
            <w:tcBorders>
              <w:top w:val="single" w:color="auto" w:sz="6" w:space="0"/>
              <w:left w:val="nil"/>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333333"/>
                <w:kern w:val="0"/>
                <w:sz w:val="24"/>
                <w:szCs w:val="24"/>
                <w:u w:val="none"/>
                <w:lang w:val="en-US" w:eastAsia="zh-CN" w:bidi="ar"/>
              </w:rPr>
            </w:pPr>
            <w:r>
              <w:rPr>
                <w:rFonts w:hint="default" w:ascii="Times New Roman" w:hAnsi="Times New Roman" w:cs="Times New Roman" w:eastAsiaTheme="minorEastAsia"/>
                <w:b/>
                <w:bCs/>
                <w:i w:val="0"/>
                <w:color w:val="333333"/>
                <w:kern w:val="0"/>
                <w:sz w:val="24"/>
                <w:szCs w:val="24"/>
                <w:u w:val="none"/>
                <w:lang w:val="en-US" w:eastAsia="zh-CN" w:bidi="ar"/>
              </w:rPr>
              <w:t>一级指标</w:t>
            </w:r>
          </w:p>
        </w:tc>
        <w:tc>
          <w:tcPr>
            <w:tcW w:w="2038" w:type="dxa"/>
            <w:tcBorders>
              <w:top w:val="single" w:color="auto" w:sz="6" w:space="0"/>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333333"/>
                <w:kern w:val="0"/>
                <w:sz w:val="24"/>
                <w:szCs w:val="24"/>
                <w:u w:val="none"/>
                <w:lang w:val="en-US" w:eastAsia="zh-CN" w:bidi="ar"/>
              </w:rPr>
            </w:pPr>
            <w:r>
              <w:rPr>
                <w:rFonts w:hint="default" w:ascii="Times New Roman" w:hAnsi="Times New Roman" w:cs="Times New Roman" w:eastAsiaTheme="minorEastAsia"/>
                <w:b/>
                <w:bCs/>
                <w:i w:val="0"/>
                <w:color w:val="333333"/>
                <w:kern w:val="0"/>
                <w:sz w:val="24"/>
                <w:szCs w:val="24"/>
                <w:u w:val="none"/>
                <w:lang w:val="en-US" w:eastAsia="zh-CN" w:bidi="ar"/>
              </w:rPr>
              <w:t>二级指标</w:t>
            </w:r>
          </w:p>
        </w:tc>
        <w:tc>
          <w:tcPr>
            <w:tcW w:w="5237" w:type="dxa"/>
            <w:tcBorders>
              <w:top w:val="single" w:color="auto" w:sz="6" w:space="0"/>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suppressLineNumbers w:val="0"/>
              <w:kinsoku/>
              <w:wordWrap/>
              <w:overflowPunct/>
              <w:topLinePunct w:val="0"/>
              <w:bidi w:val="0"/>
              <w:adjustRightInd/>
              <w:snapToGrid/>
              <w:spacing w:before="0" w:after="0" w:line="400" w:lineRule="exact"/>
              <w:ind w:left="0" w:leftChars="0" w:right="0" w:rightChars="0" w:firstLine="0" w:firstLineChars="0"/>
              <w:jc w:val="center"/>
              <w:textAlignment w:val="top"/>
              <w:outlineLvl w:val="9"/>
              <w:rPr>
                <w:rFonts w:hint="default" w:ascii="Times New Roman" w:hAnsi="Times New Roman" w:cs="Times New Roman" w:eastAsiaTheme="minorEastAsia"/>
                <w:b/>
                <w:bCs/>
                <w:i w:val="0"/>
                <w:color w:val="333333"/>
                <w:kern w:val="0"/>
                <w:sz w:val="24"/>
                <w:szCs w:val="24"/>
                <w:u w:val="none"/>
                <w:lang w:val="en-US" w:eastAsia="zh-CN" w:bidi="ar"/>
              </w:rPr>
            </w:pPr>
            <w:r>
              <w:rPr>
                <w:rFonts w:hint="default" w:ascii="Times New Roman" w:hAnsi="Times New Roman" w:cs="Times New Roman" w:eastAsiaTheme="minorEastAsia"/>
                <w:b/>
                <w:bCs/>
                <w:i w:val="0"/>
                <w:color w:val="333333"/>
                <w:kern w:val="0"/>
                <w:sz w:val="24"/>
                <w:szCs w:val="24"/>
                <w:u w:val="none"/>
                <w:lang w:val="en-US" w:eastAsia="zh-CN" w:bidi="ar"/>
              </w:rPr>
              <w:t>观察点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806" w:type="dxa"/>
            <w:vMerge w:val="restart"/>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rPr>
              <w:t>一、应用强度矩阵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30分</w:t>
            </w:r>
          </w:p>
        </w:tc>
        <w:tc>
          <w:tcPr>
            <w:tcW w:w="775" w:type="dxa"/>
            <w:vMerge w:val="restart"/>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应用强度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p>
        </w:tc>
        <w:tc>
          <w:tcPr>
            <w:tcW w:w="2038"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实验教学信息化总体规划</w:t>
            </w:r>
          </w:p>
        </w:tc>
        <w:tc>
          <w:tcPr>
            <w:tcW w:w="5237"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实验教学总体规划方案中有关信息化的描述；</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实验教学信息化中有关虚拟仿真的描述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806"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jc w:val="both"/>
              <w:textAlignment w:val="auto"/>
              <w:rPr>
                <w:rFonts w:hint="default" w:ascii="Times New Roman" w:hAnsi="Times New Roman" w:eastAsia="宋体" w:cs="Times New Roman"/>
                <w:b w:val="0"/>
                <w:bCs w:val="0"/>
                <w:i w:val="0"/>
                <w:iCs w:val="0"/>
                <w:caps w:val="0"/>
                <w:color w:val="auto"/>
                <w:spacing w:val="8"/>
                <w:sz w:val="24"/>
                <w:szCs w:val="24"/>
              </w:rPr>
            </w:pPr>
          </w:p>
        </w:tc>
        <w:tc>
          <w:tcPr>
            <w:tcW w:w="775" w:type="dxa"/>
            <w:vMerge w:val="continue"/>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center"/>
              <w:textAlignment w:val="auto"/>
              <w:rPr>
                <w:rFonts w:hint="default" w:ascii="Times New Roman" w:hAnsi="Times New Roman" w:eastAsia="宋体" w:cs="Times New Roman"/>
                <w:b w:val="0"/>
                <w:bCs w:val="0"/>
                <w:i w:val="0"/>
                <w:iCs w:val="0"/>
                <w:caps w:val="0"/>
                <w:color w:val="auto"/>
                <w:spacing w:val="8"/>
                <w:sz w:val="24"/>
                <w:szCs w:val="24"/>
              </w:rPr>
            </w:pPr>
          </w:p>
        </w:tc>
        <w:tc>
          <w:tcPr>
            <w:tcW w:w="2038"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虚拟实验在实验教学课程体系中的位置</w:t>
            </w:r>
          </w:p>
        </w:tc>
        <w:tc>
          <w:tcPr>
            <w:tcW w:w="5237"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实验课程在整个课程体系中所占比例；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实验课程对主干基础课的支撑程度；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3</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虚拟实验在实验课程中所占比例；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4</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虚拟实验的学习刚性（必修还是选修）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806"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jc w:val="both"/>
              <w:textAlignment w:val="auto"/>
              <w:rPr>
                <w:rFonts w:hint="default" w:ascii="Times New Roman" w:hAnsi="Times New Roman" w:eastAsia="宋体" w:cs="Times New Roman"/>
                <w:b w:val="0"/>
                <w:bCs w:val="0"/>
                <w:i w:val="0"/>
                <w:iCs w:val="0"/>
                <w:caps w:val="0"/>
                <w:color w:val="auto"/>
                <w:spacing w:val="8"/>
                <w:sz w:val="24"/>
                <w:szCs w:val="24"/>
              </w:rPr>
            </w:pPr>
          </w:p>
        </w:tc>
        <w:tc>
          <w:tcPr>
            <w:tcW w:w="775" w:type="dxa"/>
            <w:vMerge w:val="continue"/>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center"/>
              <w:textAlignment w:val="auto"/>
              <w:rPr>
                <w:rFonts w:hint="default" w:ascii="Times New Roman" w:hAnsi="Times New Roman" w:eastAsia="宋体" w:cs="Times New Roman"/>
                <w:b w:val="0"/>
                <w:bCs w:val="0"/>
                <w:i w:val="0"/>
                <w:iCs w:val="0"/>
                <w:caps w:val="0"/>
                <w:color w:val="auto"/>
                <w:spacing w:val="8"/>
                <w:sz w:val="24"/>
                <w:szCs w:val="24"/>
              </w:rPr>
            </w:pPr>
          </w:p>
        </w:tc>
        <w:tc>
          <w:tcPr>
            <w:tcW w:w="2038"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虚拟仿真项目在实验课程中发挥的作用</w:t>
            </w:r>
          </w:p>
        </w:tc>
        <w:tc>
          <w:tcPr>
            <w:tcW w:w="5237"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是否坚持了能实不虚的原则；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是否实现了虚实结合；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3</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项目完成情况如何认定实验成绩；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806"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jc w:val="both"/>
              <w:textAlignment w:val="auto"/>
              <w:rPr>
                <w:rFonts w:hint="default" w:ascii="Times New Roman" w:hAnsi="Times New Roman" w:eastAsia="宋体" w:cs="Times New Roman"/>
                <w:b w:val="0"/>
                <w:bCs w:val="0"/>
                <w:i w:val="0"/>
                <w:iCs w:val="0"/>
                <w:caps w:val="0"/>
                <w:color w:val="auto"/>
                <w:spacing w:val="8"/>
                <w:sz w:val="24"/>
                <w:szCs w:val="24"/>
              </w:rPr>
            </w:pPr>
          </w:p>
        </w:tc>
        <w:tc>
          <w:tcPr>
            <w:tcW w:w="775" w:type="dxa"/>
            <w:vMerge w:val="continue"/>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center"/>
              <w:textAlignment w:val="auto"/>
              <w:rPr>
                <w:rFonts w:hint="default" w:ascii="Times New Roman" w:hAnsi="Times New Roman" w:eastAsia="宋体" w:cs="Times New Roman"/>
                <w:b w:val="0"/>
                <w:bCs w:val="0"/>
                <w:i w:val="0"/>
                <w:iCs w:val="0"/>
                <w:caps w:val="0"/>
                <w:color w:val="auto"/>
                <w:spacing w:val="8"/>
                <w:sz w:val="24"/>
                <w:szCs w:val="24"/>
              </w:rPr>
            </w:pPr>
          </w:p>
        </w:tc>
        <w:tc>
          <w:tcPr>
            <w:tcW w:w="2038"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虚拟仿真实验对原有教学形式的影响</w:t>
            </w:r>
          </w:p>
        </w:tc>
        <w:tc>
          <w:tcPr>
            <w:tcW w:w="5237"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rPr>
              <w:t>1</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是否提高了原有线下实验的效率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rPr>
              <w:t>2</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是否增强了原有线下实验的效果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3</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是否实现了线上线下相结合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806" w:type="dxa"/>
            <w:vMerge w:val="restart"/>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rPr>
              <w:t>二、应用广度矩阵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20分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p>
        </w:tc>
        <w:tc>
          <w:tcPr>
            <w:tcW w:w="775" w:type="dxa"/>
            <w:vMerge w:val="restart"/>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应用广度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p>
        </w:tc>
        <w:tc>
          <w:tcPr>
            <w:tcW w:w="2038"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本专业应用项目的情况</w:t>
            </w:r>
          </w:p>
        </w:tc>
        <w:tc>
          <w:tcPr>
            <w:tcW w:w="5237"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rPr>
              <w:t>1</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必修课使用人数和学时数；</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选修课使用人数和学时数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806"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jc w:val="both"/>
              <w:textAlignment w:val="auto"/>
              <w:rPr>
                <w:rFonts w:hint="default" w:ascii="Times New Roman" w:hAnsi="Times New Roman" w:eastAsia="宋体" w:cs="Times New Roman"/>
                <w:b w:val="0"/>
                <w:bCs w:val="0"/>
                <w:i w:val="0"/>
                <w:iCs w:val="0"/>
                <w:caps w:val="0"/>
                <w:color w:val="auto"/>
                <w:spacing w:val="8"/>
                <w:sz w:val="24"/>
                <w:szCs w:val="24"/>
              </w:rPr>
            </w:pPr>
          </w:p>
        </w:tc>
        <w:tc>
          <w:tcPr>
            <w:tcW w:w="775" w:type="dxa"/>
            <w:vMerge w:val="continue"/>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center"/>
              <w:textAlignment w:val="auto"/>
              <w:rPr>
                <w:rFonts w:hint="default" w:ascii="Times New Roman" w:hAnsi="Times New Roman" w:eastAsia="宋体" w:cs="Times New Roman"/>
                <w:b w:val="0"/>
                <w:bCs w:val="0"/>
                <w:i w:val="0"/>
                <w:iCs w:val="0"/>
                <w:caps w:val="0"/>
                <w:color w:val="auto"/>
                <w:spacing w:val="8"/>
                <w:sz w:val="24"/>
                <w:szCs w:val="24"/>
              </w:rPr>
            </w:pPr>
          </w:p>
        </w:tc>
        <w:tc>
          <w:tcPr>
            <w:tcW w:w="2038"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本学科其他专业应用项目的情况</w:t>
            </w:r>
          </w:p>
        </w:tc>
        <w:tc>
          <w:tcPr>
            <w:tcW w:w="5237"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使用项目的专业数</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涉及的人数和学时数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806"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jc w:val="both"/>
              <w:textAlignment w:val="auto"/>
              <w:rPr>
                <w:rFonts w:hint="default" w:ascii="Times New Roman" w:hAnsi="Times New Roman" w:eastAsia="宋体" w:cs="Times New Roman"/>
                <w:b w:val="0"/>
                <w:bCs w:val="0"/>
                <w:i w:val="0"/>
                <w:iCs w:val="0"/>
                <w:caps w:val="0"/>
                <w:color w:val="auto"/>
                <w:spacing w:val="8"/>
                <w:sz w:val="24"/>
                <w:szCs w:val="24"/>
              </w:rPr>
            </w:pPr>
          </w:p>
        </w:tc>
        <w:tc>
          <w:tcPr>
            <w:tcW w:w="775" w:type="dxa"/>
            <w:vMerge w:val="continue"/>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center"/>
              <w:textAlignment w:val="auto"/>
              <w:rPr>
                <w:rFonts w:hint="default" w:ascii="Times New Roman" w:hAnsi="Times New Roman" w:eastAsia="宋体" w:cs="Times New Roman"/>
                <w:b w:val="0"/>
                <w:bCs w:val="0"/>
                <w:i w:val="0"/>
                <w:iCs w:val="0"/>
                <w:caps w:val="0"/>
                <w:color w:val="auto"/>
                <w:spacing w:val="8"/>
                <w:sz w:val="24"/>
                <w:szCs w:val="24"/>
              </w:rPr>
            </w:pPr>
          </w:p>
        </w:tc>
        <w:tc>
          <w:tcPr>
            <w:tcW w:w="2038"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本校应用项目的情况</w:t>
            </w:r>
          </w:p>
        </w:tc>
        <w:tc>
          <w:tcPr>
            <w:tcW w:w="5237"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rPr>
              <w:t>1</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是否由其他学科使用该项目；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使用情况；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806"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jc w:val="both"/>
              <w:textAlignment w:val="auto"/>
              <w:rPr>
                <w:rFonts w:hint="default" w:ascii="Times New Roman" w:hAnsi="Times New Roman" w:eastAsia="宋体" w:cs="Times New Roman"/>
                <w:b w:val="0"/>
                <w:bCs w:val="0"/>
                <w:i w:val="0"/>
                <w:iCs w:val="0"/>
                <w:caps w:val="0"/>
                <w:color w:val="auto"/>
                <w:spacing w:val="8"/>
                <w:sz w:val="24"/>
                <w:szCs w:val="24"/>
              </w:rPr>
            </w:pPr>
          </w:p>
        </w:tc>
        <w:tc>
          <w:tcPr>
            <w:tcW w:w="775" w:type="dxa"/>
            <w:vMerge w:val="continue"/>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center"/>
              <w:textAlignment w:val="auto"/>
              <w:rPr>
                <w:rFonts w:hint="default" w:ascii="Times New Roman" w:hAnsi="Times New Roman" w:eastAsia="宋体" w:cs="Times New Roman"/>
                <w:b w:val="0"/>
                <w:bCs w:val="0"/>
                <w:i w:val="0"/>
                <w:iCs w:val="0"/>
                <w:caps w:val="0"/>
                <w:color w:val="auto"/>
                <w:spacing w:val="8"/>
                <w:sz w:val="24"/>
                <w:szCs w:val="24"/>
              </w:rPr>
            </w:pPr>
          </w:p>
        </w:tc>
        <w:tc>
          <w:tcPr>
            <w:tcW w:w="2038"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外校应用项目的情况</w:t>
            </w:r>
          </w:p>
        </w:tc>
        <w:tc>
          <w:tcPr>
            <w:tcW w:w="5237"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兄弟院校将该项目用于实验教学的情况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806" w:type="dxa"/>
            <w:vMerge w:val="continue"/>
            <w:tcBorders>
              <w:top w:val="nil"/>
              <w:left w:val="single" w:color="auto" w:sz="6" w:space="0"/>
              <w:bottom w:val="single" w:color="auto" w:sz="4"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jc w:val="both"/>
              <w:textAlignment w:val="auto"/>
              <w:rPr>
                <w:rFonts w:hint="default" w:ascii="Times New Roman" w:hAnsi="Times New Roman" w:eastAsia="宋体" w:cs="Times New Roman"/>
                <w:b w:val="0"/>
                <w:bCs w:val="0"/>
                <w:i w:val="0"/>
                <w:iCs w:val="0"/>
                <w:caps w:val="0"/>
                <w:color w:val="auto"/>
                <w:spacing w:val="8"/>
                <w:sz w:val="24"/>
                <w:szCs w:val="24"/>
              </w:rPr>
            </w:pPr>
          </w:p>
        </w:tc>
        <w:tc>
          <w:tcPr>
            <w:tcW w:w="775" w:type="dxa"/>
            <w:vMerge w:val="continue"/>
            <w:tcBorders>
              <w:top w:val="nil"/>
              <w:left w:val="nil"/>
              <w:bottom w:val="single" w:color="auto" w:sz="4"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center"/>
              <w:textAlignment w:val="auto"/>
              <w:rPr>
                <w:rFonts w:hint="default" w:ascii="Times New Roman" w:hAnsi="Times New Roman" w:eastAsia="宋体" w:cs="Times New Roman"/>
                <w:b w:val="0"/>
                <w:bCs w:val="0"/>
                <w:i w:val="0"/>
                <w:iCs w:val="0"/>
                <w:caps w:val="0"/>
                <w:color w:val="auto"/>
                <w:spacing w:val="8"/>
                <w:sz w:val="24"/>
                <w:szCs w:val="24"/>
              </w:rPr>
            </w:pPr>
          </w:p>
        </w:tc>
        <w:tc>
          <w:tcPr>
            <w:tcW w:w="2038" w:type="dxa"/>
            <w:tcBorders>
              <w:top w:val="nil"/>
              <w:left w:val="nil"/>
              <w:bottom w:val="single" w:color="auto" w:sz="4"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其他单位应用项目的情况</w:t>
            </w:r>
          </w:p>
        </w:tc>
        <w:tc>
          <w:tcPr>
            <w:tcW w:w="5237" w:type="dxa"/>
            <w:tcBorders>
              <w:top w:val="nil"/>
              <w:left w:val="nil"/>
              <w:bottom w:val="single" w:color="auto" w:sz="4"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相关行业将该项目用于科普或员工 培训的情况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675" w:hRule="atLeast"/>
        </w:trPr>
        <w:tc>
          <w:tcPr>
            <w:tcW w:w="806" w:type="dxa"/>
            <w:vMerge w:val="restart"/>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三、应用效度矩阵30分</w:t>
            </w:r>
          </w:p>
        </w:tc>
        <w:tc>
          <w:tcPr>
            <w:tcW w:w="775" w:type="dxa"/>
            <w:vMerge w:val="restart"/>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应用效度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p>
        </w:tc>
        <w:tc>
          <w:tcPr>
            <w:tcW w:w="2038"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虚拟实验填补实验教学空白</w:t>
            </w:r>
          </w:p>
        </w:tc>
        <w:tc>
          <w:tcPr>
            <w:tcW w:w="5237"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通过使用虚拟实验，填补了原有实验教学体系的空白，更好的支撑了课堂教学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806" w:type="dxa"/>
            <w:vMerge w:val="continue"/>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jc w:val="both"/>
              <w:textAlignment w:val="auto"/>
              <w:rPr>
                <w:rFonts w:hint="default" w:ascii="Times New Roman" w:hAnsi="Times New Roman" w:eastAsia="宋体" w:cs="Times New Roman"/>
                <w:b w:val="0"/>
                <w:bCs w:val="0"/>
                <w:i w:val="0"/>
                <w:iCs w:val="0"/>
                <w:caps w:val="0"/>
                <w:color w:val="auto"/>
                <w:spacing w:val="8"/>
                <w:sz w:val="24"/>
                <w:szCs w:val="24"/>
              </w:rPr>
            </w:pPr>
          </w:p>
        </w:tc>
        <w:tc>
          <w:tcPr>
            <w:tcW w:w="775" w:type="dxa"/>
            <w:vMerge w:val="continue"/>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center"/>
              <w:textAlignment w:val="auto"/>
              <w:rPr>
                <w:rFonts w:hint="default" w:ascii="Times New Roman" w:hAnsi="Times New Roman" w:eastAsia="宋体" w:cs="Times New Roman"/>
                <w:b w:val="0"/>
                <w:bCs w:val="0"/>
                <w:i w:val="0"/>
                <w:iCs w:val="0"/>
                <w:caps w:val="0"/>
                <w:color w:val="auto"/>
                <w:spacing w:val="8"/>
                <w:sz w:val="24"/>
                <w:szCs w:val="24"/>
              </w:rPr>
            </w:pPr>
          </w:p>
        </w:tc>
        <w:tc>
          <w:tcPr>
            <w:tcW w:w="2038"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虚拟实验优化原有实验教学环节</w:t>
            </w:r>
          </w:p>
        </w:tc>
        <w:tc>
          <w:tcPr>
            <w:tcW w:w="5237"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通过使用虚拟实验，提高了原实验教学环节的效率；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通过使用虚拟实验，丰富了教学手段，拓展课学生动手能力培养方式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806" w:type="dxa"/>
            <w:vMerge w:val="continue"/>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jc w:val="both"/>
              <w:textAlignment w:val="auto"/>
              <w:rPr>
                <w:rFonts w:hint="default" w:ascii="Times New Roman" w:hAnsi="Times New Roman" w:eastAsia="宋体" w:cs="Times New Roman"/>
                <w:b w:val="0"/>
                <w:bCs w:val="0"/>
                <w:i w:val="0"/>
                <w:iCs w:val="0"/>
                <w:caps w:val="0"/>
                <w:color w:val="auto"/>
                <w:spacing w:val="8"/>
                <w:sz w:val="24"/>
                <w:szCs w:val="24"/>
              </w:rPr>
            </w:pPr>
          </w:p>
        </w:tc>
        <w:tc>
          <w:tcPr>
            <w:tcW w:w="775" w:type="dxa"/>
            <w:vMerge w:val="continue"/>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center"/>
              <w:textAlignment w:val="auto"/>
              <w:rPr>
                <w:rFonts w:hint="default" w:ascii="Times New Roman" w:hAnsi="Times New Roman" w:eastAsia="宋体" w:cs="Times New Roman"/>
                <w:b w:val="0"/>
                <w:bCs w:val="0"/>
                <w:i w:val="0"/>
                <w:iCs w:val="0"/>
                <w:caps w:val="0"/>
                <w:color w:val="auto"/>
                <w:spacing w:val="8"/>
                <w:sz w:val="24"/>
                <w:szCs w:val="24"/>
              </w:rPr>
            </w:pPr>
          </w:p>
        </w:tc>
        <w:tc>
          <w:tcPr>
            <w:tcW w:w="2038"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虚拟实验的实际教学效果</w:t>
            </w:r>
          </w:p>
        </w:tc>
        <w:tc>
          <w:tcPr>
            <w:tcW w:w="5237"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通过虚拟实验，学生对理论教学知识点的掌握是否得到加强；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通过虚拟实验，学生对实验原理</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流程和操作是否有效的掌握和模拟训练；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3</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通过虚拟实验，对学生综合分析问题和解决问题能力的培养效果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4</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学生评价与反馈；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806" w:type="dxa"/>
            <w:vMerge w:val="restart"/>
            <w:tcBorders>
              <w:top w:val="single" w:color="auto" w:sz="4" w:space="0"/>
              <w:left w:val="single" w:color="auto" w:sz="6" w:space="0"/>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rPr>
              <w:t>四、保障机制矩阵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20分</w:t>
            </w:r>
          </w:p>
        </w:tc>
        <w:tc>
          <w:tcPr>
            <w:tcW w:w="775" w:type="dxa"/>
            <w:vMerge w:val="restart"/>
            <w:tcBorders>
              <w:top w:val="single" w:color="auto" w:sz="4" w:space="0"/>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保障机制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center"/>
              <w:textAlignment w:val="auto"/>
              <w:rPr>
                <w:rFonts w:hint="default" w:ascii="Times New Roman" w:hAnsi="Times New Roman" w:eastAsia="宋体" w:cs="Times New Roman"/>
                <w:color w:val="auto"/>
                <w:sz w:val="24"/>
                <w:szCs w:val="24"/>
              </w:rPr>
            </w:pPr>
          </w:p>
        </w:tc>
        <w:tc>
          <w:tcPr>
            <w:tcW w:w="2038" w:type="dxa"/>
            <w:tcBorders>
              <w:top w:val="single" w:color="auto" w:sz="4" w:space="0"/>
              <w:left w:val="nil"/>
              <w:bottom w:val="single" w:color="auto" w:sz="6" w:space="0"/>
              <w:right w:val="single" w:color="auto" w:sz="4"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应用与服务团队建设</w:t>
            </w:r>
          </w:p>
        </w:tc>
        <w:tc>
          <w:tcPr>
            <w:tcW w:w="5237" w:type="dxa"/>
            <w:tcBorders>
              <w:top w:val="single" w:color="auto" w:sz="4" w:space="0"/>
              <w:left w:val="single" w:color="auto" w:sz="4" w:space="0"/>
              <w:bottom w:val="single" w:color="auto" w:sz="4" w:space="0"/>
              <w:right w:val="single" w:color="auto" w:sz="4"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是否有稳定的团队负责项目的开发与持续建设，力量是否充足，是否具有多元化的背景，分工是否明确。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806"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kinsoku/>
              <w:overflowPunct/>
              <w:topLinePunct w:val="0"/>
              <w:bidi w:val="0"/>
              <w:adjustRightInd/>
              <w:snapToGrid/>
              <w:spacing w:line="400" w:lineRule="exact"/>
              <w:jc w:val="both"/>
              <w:textAlignment w:val="auto"/>
              <w:rPr>
                <w:rFonts w:hint="default" w:ascii="Times New Roman" w:hAnsi="Times New Roman" w:eastAsia="宋体" w:cs="Times New Roman"/>
                <w:b w:val="0"/>
                <w:bCs w:val="0"/>
                <w:i w:val="0"/>
                <w:iCs w:val="0"/>
                <w:caps w:val="0"/>
                <w:color w:val="auto"/>
                <w:spacing w:val="8"/>
                <w:sz w:val="24"/>
                <w:szCs w:val="24"/>
              </w:rPr>
            </w:pPr>
          </w:p>
        </w:tc>
        <w:tc>
          <w:tcPr>
            <w:tcW w:w="775" w:type="dxa"/>
            <w:vMerge w:val="continue"/>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center"/>
              <w:textAlignment w:val="auto"/>
              <w:rPr>
                <w:rFonts w:hint="default" w:ascii="Times New Roman" w:hAnsi="Times New Roman" w:eastAsia="宋体" w:cs="Times New Roman"/>
                <w:b w:val="0"/>
                <w:bCs w:val="0"/>
                <w:i w:val="0"/>
                <w:iCs w:val="0"/>
                <w:caps w:val="0"/>
                <w:color w:val="auto"/>
                <w:spacing w:val="8"/>
                <w:sz w:val="24"/>
                <w:szCs w:val="24"/>
              </w:rPr>
            </w:pPr>
          </w:p>
        </w:tc>
        <w:tc>
          <w:tcPr>
            <w:tcW w:w="2038"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政策性支撑措施</w:t>
            </w:r>
          </w:p>
        </w:tc>
        <w:tc>
          <w:tcPr>
            <w:tcW w:w="5237" w:type="dxa"/>
            <w:tcBorders>
              <w:top w:val="single" w:color="auto" w:sz="4" w:space="0"/>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1</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对虚拟仿真项目建设的持续投入；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2</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对学生使用虚拟项目是否有学分或学时认定；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3</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对教师参与开发和持续建设虚拟项目是否计算工作量；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4</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项目认定或应用过程中取得的成绩如何认可。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5</w:t>
            </w:r>
            <w:r>
              <w:rPr>
                <w:rFonts w:hint="default" w:ascii="Times New Roman" w:hAnsi="Times New Roman" w:cs="Times New Roman"/>
                <w:b w:val="0"/>
                <w:bCs w:val="0"/>
                <w:i w:val="0"/>
                <w:iCs w:val="0"/>
                <w:caps w:val="0"/>
                <w:color w:val="auto"/>
                <w:spacing w:val="0"/>
                <w:sz w:val="24"/>
                <w:szCs w:val="24"/>
                <w:lang w:eastAsia="zh-CN"/>
              </w:rPr>
              <w:t>.</w:t>
            </w:r>
            <w:r>
              <w:rPr>
                <w:rFonts w:hint="default" w:ascii="Times New Roman" w:hAnsi="Times New Roman" w:eastAsia="宋体" w:cs="Times New Roman"/>
                <w:b w:val="0"/>
                <w:bCs w:val="0"/>
                <w:i w:val="0"/>
                <w:iCs w:val="0"/>
                <w:caps w:val="0"/>
                <w:color w:val="auto"/>
                <w:spacing w:val="0"/>
                <w:sz w:val="24"/>
                <w:szCs w:val="24"/>
              </w:rPr>
              <w:t>学分互认机制；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806" w:type="dxa"/>
            <w:vMerge w:val="continue"/>
            <w:tcBorders>
              <w:top w:val="nil"/>
              <w:left w:val="single" w:color="auto" w:sz="6" w:space="0"/>
              <w:bottom w:val="single" w:color="auto" w:sz="6" w:space="0"/>
              <w:right w:val="single" w:color="auto" w:sz="6" w:space="0"/>
            </w:tcBorders>
            <w:shd w:val="clear" w:color="auto" w:fill="FFFFFF"/>
            <w:tcMar>
              <w:left w:w="75" w:type="dxa"/>
              <w:right w:w="75" w:type="dxa"/>
            </w:tcMar>
            <w:vAlign w:val="top"/>
          </w:tcPr>
          <w:p>
            <w:pPr>
              <w:keepNext w:val="0"/>
              <w:keepLines w:val="0"/>
              <w:pageBreakBefore w:val="0"/>
              <w:widowControl/>
              <w:kinsoku/>
              <w:overflowPunct/>
              <w:topLinePunct w:val="0"/>
              <w:bidi w:val="0"/>
              <w:adjustRightInd/>
              <w:snapToGrid/>
              <w:spacing w:line="400" w:lineRule="exact"/>
              <w:jc w:val="both"/>
              <w:textAlignment w:val="auto"/>
              <w:rPr>
                <w:rFonts w:hint="default" w:ascii="Times New Roman" w:hAnsi="Times New Roman" w:eastAsia="宋体" w:cs="Times New Roman"/>
                <w:b w:val="0"/>
                <w:bCs w:val="0"/>
                <w:i w:val="0"/>
                <w:iCs w:val="0"/>
                <w:caps w:val="0"/>
                <w:color w:val="auto"/>
                <w:spacing w:val="8"/>
                <w:sz w:val="24"/>
                <w:szCs w:val="24"/>
              </w:rPr>
            </w:pPr>
          </w:p>
        </w:tc>
        <w:tc>
          <w:tcPr>
            <w:tcW w:w="775" w:type="dxa"/>
            <w:vMerge w:val="continue"/>
            <w:tcBorders>
              <w:top w:val="nil"/>
              <w:left w:val="nil"/>
              <w:bottom w:val="single" w:color="auto" w:sz="6" w:space="0"/>
              <w:right w:val="single" w:color="auto" w:sz="6" w:space="0"/>
            </w:tcBorders>
            <w:shd w:val="clear" w:color="auto" w:fill="FFFFFF"/>
            <w:tcMar>
              <w:left w:w="75" w:type="dxa"/>
              <w:right w:w="75" w:type="dxa"/>
            </w:tcMar>
            <w:vAlign w:val="center"/>
          </w:tcPr>
          <w:p>
            <w:pPr>
              <w:keepNext w:val="0"/>
              <w:keepLines w:val="0"/>
              <w:pageBreakBefore w:val="0"/>
              <w:widowControl/>
              <w:kinsoku/>
              <w:overflowPunct/>
              <w:topLinePunct w:val="0"/>
              <w:bidi w:val="0"/>
              <w:adjustRightInd/>
              <w:snapToGrid/>
              <w:spacing w:line="400" w:lineRule="exact"/>
              <w:ind w:left="0" w:leftChars="0" w:right="0" w:rightChars="0" w:firstLine="0" w:firstLineChars="0"/>
              <w:jc w:val="center"/>
              <w:textAlignment w:val="auto"/>
              <w:rPr>
                <w:rFonts w:hint="default" w:ascii="Times New Roman" w:hAnsi="Times New Roman" w:eastAsia="宋体" w:cs="Times New Roman"/>
                <w:b w:val="0"/>
                <w:bCs w:val="0"/>
                <w:i w:val="0"/>
                <w:iCs w:val="0"/>
                <w:caps w:val="0"/>
                <w:color w:val="auto"/>
                <w:spacing w:val="8"/>
                <w:sz w:val="24"/>
                <w:szCs w:val="24"/>
              </w:rPr>
            </w:pPr>
          </w:p>
        </w:tc>
        <w:tc>
          <w:tcPr>
            <w:tcW w:w="2038"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服务性保障措施</w:t>
            </w:r>
          </w:p>
        </w:tc>
        <w:tc>
          <w:tcPr>
            <w:tcW w:w="5237" w:type="dxa"/>
            <w:tcBorders>
              <w:top w:val="nil"/>
              <w:left w:val="nil"/>
              <w:bottom w:val="single" w:color="auto" w:sz="6" w:space="0"/>
              <w:right w:val="single" w:color="auto" w:sz="6" w:space="0"/>
            </w:tcBorders>
            <w:shd w:val="clear" w:color="auto" w:fill="FFFFFF"/>
            <w:tcMar>
              <w:left w:w="75" w:type="dxa"/>
              <w:right w:w="75"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spacing w:before="0" w:beforeAutospacing="0" w:after="0" w:afterAutospacing="0" w:line="400" w:lineRule="exact"/>
              <w:ind w:left="0" w:righ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val="0"/>
                <w:bCs w:val="0"/>
                <w:i w:val="0"/>
                <w:iCs w:val="0"/>
                <w:caps w:val="0"/>
                <w:color w:val="auto"/>
                <w:spacing w:val="0"/>
                <w:sz w:val="24"/>
                <w:szCs w:val="24"/>
              </w:rPr>
              <w:t>鼓励项目应用和共享服务的激励措施，包括收费和成本补偿机制，人员激励等；</w:t>
            </w:r>
          </w:p>
        </w:tc>
      </w:tr>
    </w:tbl>
    <w:p>
      <w:pPr>
        <w:pStyle w:val="10"/>
        <w:keepNext w:val="0"/>
        <w:keepLines w:val="0"/>
        <w:pageBreakBefore w:val="0"/>
        <w:numPr>
          <w:ilvl w:val="0"/>
          <w:numId w:val="0"/>
        </w:numPr>
        <w:tabs>
          <w:tab w:val="left" w:pos="952"/>
        </w:tabs>
        <w:kinsoku/>
        <w:wordWrap/>
        <w:overflowPunct/>
        <w:topLinePunct w:val="0"/>
        <w:autoSpaceDE w:val="0"/>
        <w:autoSpaceDN w:val="0"/>
        <w:bidi w:val="0"/>
        <w:adjustRightInd/>
        <w:snapToGrid/>
        <w:spacing w:before="0" w:after="0" w:line="240" w:lineRule="auto"/>
        <w:ind w:right="0" w:rightChars="0"/>
        <w:jc w:val="left"/>
        <w:textAlignment w:val="auto"/>
        <w:rPr>
          <w:rFonts w:hint="default" w:ascii="Times New Roman" w:hAnsi="Times New Roman" w:eastAsia="仿宋" w:cs="Times New Roman"/>
          <w:sz w:val="32"/>
          <w:szCs w:val="32"/>
        </w:rPr>
      </w:pPr>
    </w:p>
    <w:sectPr>
      <w:footerReference r:id="rId3" w:type="default"/>
      <w:pgSz w:w="11910" w:h="16840"/>
      <w:pgMar w:top="1417" w:right="1531" w:bottom="1417" w:left="1531" w:header="0" w:footer="1115"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03546"/>
    <w:rsid w:val="05922789"/>
    <w:rsid w:val="05CD1CAD"/>
    <w:rsid w:val="0C6A7B2D"/>
    <w:rsid w:val="0CE43067"/>
    <w:rsid w:val="132A00A7"/>
    <w:rsid w:val="15462EC8"/>
    <w:rsid w:val="1FA2583F"/>
    <w:rsid w:val="24F86630"/>
    <w:rsid w:val="25674BAE"/>
    <w:rsid w:val="26494960"/>
    <w:rsid w:val="2A95776D"/>
    <w:rsid w:val="2E3212A4"/>
    <w:rsid w:val="34CD79F2"/>
    <w:rsid w:val="37A46B64"/>
    <w:rsid w:val="38285BBB"/>
    <w:rsid w:val="42AE0712"/>
    <w:rsid w:val="59AA72E2"/>
    <w:rsid w:val="5A577E0D"/>
    <w:rsid w:val="61B22F8F"/>
    <w:rsid w:val="63FD7293"/>
    <w:rsid w:val="651F7CF1"/>
    <w:rsid w:val="66340A81"/>
    <w:rsid w:val="693E6197"/>
    <w:rsid w:val="75523DFC"/>
    <w:rsid w:val="7AB01CFF"/>
    <w:rsid w:val="7E4616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7">
    <w:name w:val="Default Paragraph Font"/>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8"/>
      <w:szCs w:val="28"/>
      <w:lang w:val="zh-CN" w:eastAsia="zh-CN" w:bidi="zh-C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table" w:customStyle="1" w:styleId="9">
    <w:name w:val="Table Normal"/>
    <w:unhideWhenUsed/>
    <w:qFormat/>
    <w:uiPriority w:val="2"/>
    <w:tblPr>
      <w:tblCellMar>
        <w:top w:w="0" w:type="dxa"/>
        <w:left w:w="0" w:type="dxa"/>
        <w:bottom w:w="0" w:type="dxa"/>
        <w:right w:w="0" w:type="dxa"/>
      </w:tblCellMar>
    </w:tblPr>
  </w:style>
  <w:style w:type="paragraph" w:customStyle="1" w:styleId="10">
    <w:name w:val="List Paragraph"/>
    <w:basedOn w:val="1"/>
    <w:qFormat/>
    <w:uiPriority w:val="1"/>
    <w:pPr>
      <w:ind w:left="108" w:right="243" w:firstLine="559"/>
      <w:jc w:val="both"/>
    </w:pPr>
    <w:rPr>
      <w:rFonts w:ascii="宋体" w:hAnsi="宋体" w:eastAsia="宋体" w:cs="宋体"/>
      <w:lang w:val="zh-CN" w:eastAsia="zh-CN" w:bidi="zh-CN"/>
    </w:rPr>
  </w:style>
  <w:style w:type="paragraph" w:customStyle="1" w:styleId="11">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ScaleCrop>false</ScaleCrop>
  <LinksUpToDate>false</LinksUpToDate>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2021-04-07T17:37:00Z</dcterms:created>
  <dc:creator>jjf2</dc:creator>
  <cp:lastModifiedBy>冰橙</cp:lastModifiedBy>
  <cp:lastPrinted>2021-04-13T00:19:00Z</cp:lastPrinted>
  <dcterms:modified xsi:type="dcterms:W3CDTF">2021-04-13T05:08:22Z</dcterms:modified>
  <dc:title>通知标题（宋体、三号、加粗）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2020-03-14T00:00:00Z</vt:filetime>
  </property>
  <property fmtid="{D5CDD505-2E9C-101B-9397-08002B2CF9AE}" pid="3" name="Creator">
    <vt:lpwstr>WPS 文字</vt:lpwstr>
  </property>
  <property fmtid="{D5CDD505-2E9C-101B-9397-08002B2CF9AE}" pid="4" name="LastSaved">
    <vt:filetime>2021-04-07T00:00:00Z</vt:filetime>
  </property>
  <property fmtid="{D5CDD505-2E9C-101B-9397-08002B2CF9AE}" pid="5" name="KSOProductBuildVer">
    <vt:lpwstr>2052-11.1.0.10314</vt:lpwstr>
  </property>
  <property fmtid="{D5CDD505-2E9C-101B-9397-08002B2CF9AE}" pid="6" name="ICV">
    <vt:lpwstr>A736860A7A1E48C28EB2D1F280277F2E</vt:lpwstr>
  </property>
  <property fmtid="{D5CDD505-2E9C-101B-9397-08002B2CF9AE}" pid="7" name="KSOSaveFontToCloudKey">
    <vt:lpwstr>398888208_cloud</vt:lpwstr>
  </property>
</Properties>
</file>