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00" w:beforeLines="100" w:beforeAutospacing="0" w:after="100" w:afterLines="100" w:afterAutospacing="0" w:line="360" w:lineRule="auto"/>
        <w:jc w:val="center"/>
        <w:textAlignment w:val="auto"/>
        <w:rPr>
          <w:rFonts w:hint="eastAsia" w:ascii="Times New Roman" w:hAnsi="Times New Roman" w:eastAsia="宋体" w:cs="仿宋"/>
          <w:b w:val="0"/>
          <w:bCs/>
          <w:kern w:val="2"/>
          <w:sz w:val="24"/>
          <w:szCs w:val="36"/>
          <w:lang w:val="en-US" w:eastAsia="zh-CN" w:bidi="ar-SA"/>
        </w:rPr>
      </w:pPr>
      <w:bookmarkStart w:id="0" w:name="_Toc12899"/>
      <w:r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  <w:t>音乐学院“青年导师”实施方案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为了深入落实立德树人根本任务,用习近平新时代中国特色社会主义思想指导铸魂育人工作，持续拓展全员、全过程、全方位育人的载体和抓手,健全完善“大思政”格局,更好凝聚育人合力,全面加强学生养成教育，促进文明行为，推进学风建设，经研究决定在我院2020级新生中推行“青年导师”制度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一、指导思想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充分发挥教师在学生成长成才中不可替代的独特作用，强化专业课教师在育人中的地位和作用，从政治上、生活上关心学生的成长和教育养成，在做好课程思政的同时，着力实现知识传授、能力培养和价值引领上的高度统一,解决长期以来教书和育人“两张皮”的问题，促进以德施教、以德育德,给学生心灵埋下真善美的种子,引导学生扣好人生第一粒扣子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二、工作职责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1、做好学生的人生导航工作。站在“为党育人，为国育才”为社会主义事业培养建设者和接班人的高度，教育引导学生坚持正确的政治方向，牢固树立共产主义信仰，热爱和拥护中国共产党，听党话、跟党走；在厚植爱国主义情怀上下功夫，让爱国主义精神在学生心中牢牢扎根；在加强品德修养上下功夫，培育和践行社会主义核心价值观，踏踏实实修好品德，成为有大爱大德大情怀的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2、做好学生的成长成才工作。围绕全面提高人才培养能力这个核心,教育引导学生树立自信心、自立心、自强心以及积极的姿态过好大学生活，对学生的学习深造、专业发展、就业规划以及各个阶段遇到的人生迷茫、困惑给予及时的指导与帮助，关注学生成长成才的每时每刻，随时进行教育疏导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3、了解学生，关爱学生。全面了解掌握所指导学生的基本情况，以长辈或者大姐姐大哥哥的亲切身份，拉进距离，诚心与学生交朋友，针对性地开展工作；充分利用网络资源，建立微信、QQ平台，与学生保持密切联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4、默契配合，针对性开展工作。要对接班级辅导员，与他们保持密切联系，沟通交流所指导学生的思想状况及表现，默契配合，相互反馈信息。注意引导在学习上有差距的学生转变提升；特别是对家庭困难及有心理问题的特殊群体，要给予充分的关照，发现问题及时沟通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5、家校联动，讲求实效。对接学生家庭，与家长建立密切联系，将学生在校思想表现及时通报家长，通过相互反馈学生在学习和生活上的信息，达成一致的科学的教育理念，实现学校教育与家庭教育“双管齐下”的效果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三、实施细则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音乐表演专业，利用学院现有教学体制中《主修》课程“师从”关系，直接导入“青年导师”机制，一岗双责，实现知识传授、能力培养和价值引领上的有机统一。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舞蹈表演专业，采取师生双向选择(或)的办法确定指导关系。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召开专门会议颁发聘书、任务书，明确工作职责。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聘任教师必须具有较高的思想政治觉悟，有强烈的教书育人的使命感、责任感，着力提升教书育人能力，身体力行，学高为师，身正为范，德艺双馨，为所指导学生树立楷模。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kern w:val="2"/>
          <w:sz w:val="24"/>
          <w:szCs w:val="32"/>
          <w:lang w:val="en-US" w:eastAsia="zh-CN" w:bidi="ar-SA"/>
        </w:rPr>
        <w:t>聘任教师要认真负责，从培养目标、工作内容、指导方式方法及工作步骤等做出全面、具体而又明确的安排，确保工作实效。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建立考核激励机制，调动工作积极性。建立考核制度，学生的表现与教师的工作业绩挂钩。对工作优异者，在职称评审、职务晋升、评优评先时优先考虑；对不称职的教师要及时解除“青年导师”聘任工作。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1DB6C"/>
    <w:multiLevelType w:val="singleLevel"/>
    <w:tmpl w:val="BAE1DB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2021-11-25T13:55:18Z</dcterms:created>
  <dc:creator>李硕</dc:creator>
  <cp:lastModifiedBy>李硕</cp:lastModifiedBy>
  <dcterms:modified xsi:type="dcterms:W3CDTF">2021-11-25T13:57:05Z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